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6D1D4">
      <w:pPr>
        <w:tabs>
          <w:tab w:val="left" w:pos="315"/>
          <w:tab w:val="left" w:pos="8820"/>
        </w:tabs>
        <w:spacing w:line="360" w:lineRule="auto"/>
        <w:jc w:val="both"/>
        <w:rPr>
          <w:rFonts w:ascii="宋体" w:hAnsi="宋体" w:eastAsia="宋体" w:cs="宋体"/>
          <w:b/>
          <w:bCs/>
          <w:color w:val="auto"/>
          <w:sz w:val="52"/>
          <w:szCs w:val="52"/>
          <w:highlight w:val="none"/>
        </w:rPr>
      </w:pPr>
    </w:p>
    <w:p w14:paraId="4B035AB7">
      <w:pPr>
        <w:tabs>
          <w:tab w:val="left" w:pos="315"/>
          <w:tab w:val="left" w:pos="8820"/>
        </w:tabs>
        <w:spacing w:line="360" w:lineRule="auto"/>
        <w:jc w:val="center"/>
        <w:rPr>
          <w:rFonts w:hint="eastAsia" w:ascii="Times New Roman" w:hAnsi="Times New Roman" w:cs="Times New Roman" w:eastAsiaTheme="minorEastAsia"/>
          <w:b/>
          <w:bCs/>
          <w:color w:val="auto"/>
          <w:sz w:val="44"/>
          <w:szCs w:val="44"/>
          <w:highlight w:val="none"/>
          <w:lang w:val="en-US" w:eastAsia="zh-CN"/>
        </w:rPr>
      </w:pPr>
      <w:r>
        <w:rPr>
          <w:rFonts w:hint="eastAsia" w:ascii="Times New Roman" w:hAnsi="Times New Roman" w:cs="Times New Roman" w:eastAsiaTheme="minorEastAsia"/>
          <w:b/>
          <w:bCs/>
          <w:color w:val="auto"/>
          <w:sz w:val="44"/>
          <w:szCs w:val="44"/>
          <w:highlight w:val="none"/>
          <w:lang w:val="en-US" w:eastAsia="zh-CN"/>
        </w:rPr>
        <w:t>界首市2026年-2028年度12345政务服务便民热线外包服务项目</w:t>
      </w:r>
    </w:p>
    <w:p w14:paraId="7B65B0DE">
      <w:pPr>
        <w:pStyle w:val="6"/>
        <w:rPr>
          <w:rFonts w:hint="eastAsia" w:ascii="Times New Roman" w:hAnsi="Times New Roman" w:cs="Times New Roman" w:eastAsiaTheme="minorEastAsia"/>
          <w:b/>
          <w:bCs/>
          <w:color w:val="auto"/>
          <w:sz w:val="44"/>
          <w:szCs w:val="44"/>
          <w:highlight w:val="none"/>
          <w:lang w:val="en-US" w:eastAsia="zh-CN"/>
        </w:rPr>
      </w:pPr>
    </w:p>
    <w:p w14:paraId="1A0155F8">
      <w:pPr>
        <w:pStyle w:val="6"/>
        <w:rPr>
          <w:rFonts w:hint="eastAsia" w:ascii="Times New Roman" w:hAnsi="Times New Roman" w:cs="Times New Roman" w:eastAsiaTheme="minorEastAsia"/>
          <w:b/>
          <w:bCs/>
          <w:color w:val="auto"/>
          <w:sz w:val="44"/>
          <w:szCs w:val="44"/>
          <w:highlight w:val="none"/>
          <w:lang w:val="en-US" w:eastAsia="zh-CN"/>
        </w:rPr>
      </w:pPr>
    </w:p>
    <w:p w14:paraId="40EF1FCC">
      <w:pPr>
        <w:pStyle w:val="6"/>
        <w:rPr>
          <w:rFonts w:hint="default" w:ascii="Times New Roman" w:hAnsi="Times New Roman" w:cs="Times New Roman" w:eastAsiaTheme="minorEastAsia"/>
          <w:b/>
          <w:bCs/>
          <w:color w:val="auto"/>
          <w:sz w:val="44"/>
          <w:szCs w:val="44"/>
          <w:highlight w:val="none"/>
          <w:lang w:val="en-US" w:eastAsia="zh-CN"/>
        </w:rPr>
      </w:pPr>
    </w:p>
    <w:p w14:paraId="05C108EA">
      <w:pPr>
        <w:pStyle w:val="22"/>
        <w:rPr>
          <w:rFonts w:hint="default"/>
          <w:highlight w:val="none"/>
        </w:rPr>
      </w:pPr>
    </w:p>
    <w:p w14:paraId="3CD5A956">
      <w:pPr>
        <w:tabs>
          <w:tab w:val="left" w:pos="315"/>
          <w:tab w:val="left" w:pos="8820"/>
        </w:tabs>
        <w:spacing w:line="360" w:lineRule="auto"/>
        <w:jc w:val="center"/>
        <w:outlineLvl w:val="0"/>
        <w:rPr>
          <w:rFonts w:ascii="宋体" w:hAnsi="宋体" w:eastAsia="宋体" w:cs="宋体"/>
          <w:bCs/>
          <w:color w:val="auto"/>
          <w:sz w:val="44"/>
          <w:szCs w:val="44"/>
          <w:highlight w:val="none"/>
        </w:rPr>
      </w:pPr>
      <w:bookmarkStart w:id="0" w:name="_Toc30306"/>
      <w:r>
        <w:rPr>
          <w:rFonts w:hint="default" w:ascii="Times New Roman" w:hAnsi="Times New Roman" w:eastAsia="宋体" w:cs="Times New Roman"/>
          <w:b/>
          <w:bCs/>
          <w:color w:val="auto"/>
          <w:sz w:val="52"/>
          <w:szCs w:val="52"/>
          <w:highlight w:val="none"/>
        </w:rPr>
        <w:t>竞争性磋商文件</w:t>
      </w:r>
      <w:bookmarkEnd w:id="0"/>
    </w:p>
    <w:p w14:paraId="6D1450FD">
      <w:pPr>
        <w:tabs>
          <w:tab w:val="left" w:pos="2410"/>
        </w:tabs>
        <w:adjustRightInd w:val="0"/>
        <w:snapToGrid w:val="0"/>
        <w:spacing w:line="360" w:lineRule="auto"/>
        <w:rPr>
          <w:rFonts w:ascii="宋体" w:hAnsi="宋体" w:eastAsia="宋体" w:cs="宋体"/>
          <w:b/>
          <w:color w:val="auto"/>
          <w:spacing w:val="20"/>
          <w:kern w:val="0"/>
          <w:sz w:val="32"/>
          <w:szCs w:val="32"/>
          <w:highlight w:val="none"/>
        </w:rPr>
      </w:pPr>
    </w:p>
    <w:p w14:paraId="1FD3B39E">
      <w:pPr>
        <w:tabs>
          <w:tab w:val="left" w:pos="2410"/>
        </w:tabs>
        <w:adjustRightInd w:val="0"/>
        <w:snapToGrid w:val="0"/>
        <w:spacing w:line="360" w:lineRule="auto"/>
        <w:rPr>
          <w:rFonts w:ascii="宋体" w:hAnsi="宋体" w:eastAsia="宋体" w:cs="宋体"/>
          <w:b/>
          <w:color w:val="auto"/>
          <w:spacing w:val="20"/>
          <w:kern w:val="0"/>
          <w:sz w:val="32"/>
          <w:szCs w:val="32"/>
          <w:highlight w:val="none"/>
        </w:rPr>
      </w:pPr>
    </w:p>
    <w:p w14:paraId="3F4C7F8D">
      <w:pPr>
        <w:tabs>
          <w:tab w:val="left" w:pos="2410"/>
        </w:tabs>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rPr>
      </w:pPr>
    </w:p>
    <w:p w14:paraId="63577D7B">
      <w:pPr>
        <w:tabs>
          <w:tab w:val="left" w:pos="2410"/>
        </w:tabs>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rPr>
      </w:pPr>
    </w:p>
    <w:p w14:paraId="66611A33">
      <w:pPr>
        <w:tabs>
          <w:tab w:val="left" w:pos="2410"/>
        </w:tabs>
        <w:adjustRightInd w:val="0"/>
        <w:snapToGrid w:val="0"/>
        <w:spacing w:line="480" w:lineRule="auto"/>
        <w:ind w:firstLine="420" w:firstLineChars="0"/>
        <w:outlineLvl w:val="0"/>
        <w:rPr>
          <w:rFonts w:hint="default" w:ascii="宋体" w:hAnsi="宋体" w:eastAsia="宋体" w:cs="宋体"/>
          <w:b/>
          <w:color w:val="auto"/>
          <w:spacing w:val="20"/>
          <w:kern w:val="0"/>
          <w:sz w:val="32"/>
          <w:szCs w:val="32"/>
          <w:highlight w:val="none"/>
          <w:lang w:val="en-US"/>
        </w:rPr>
      </w:pPr>
      <w:bookmarkStart w:id="1" w:name="_Toc5771"/>
      <w:r>
        <w:rPr>
          <w:rFonts w:hint="eastAsia" w:ascii="宋体" w:hAnsi="宋体" w:eastAsia="宋体" w:cs="宋体"/>
          <w:b/>
          <w:color w:val="auto"/>
          <w:spacing w:val="0"/>
          <w:kern w:val="0"/>
          <w:sz w:val="32"/>
          <w:szCs w:val="32"/>
          <w:highlight w:val="none"/>
          <w:fitText w:val="1280" w:id="687944277"/>
        </w:rPr>
        <w:t>项目编号</w:t>
      </w:r>
      <w:r>
        <w:rPr>
          <w:rFonts w:hint="eastAsia" w:ascii="宋体" w:hAnsi="宋体" w:eastAsia="宋体" w:cs="宋体"/>
          <w:b/>
          <w:color w:val="auto"/>
          <w:spacing w:val="20"/>
          <w:kern w:val="0"/>
          <w:sz w:val="32"/>
          <w:szCs w:val="32"/>
          <w:highlight w:val="none"/>
        </w:rPr>
        <w:t>：</w:t>
      </w:r>
      <w:r>
        <w:rPr>
          <w:rFonts w:hint="eastAsia" w:ascii="宋体" w:hAnsi="宋体" w:eastAsia="宋体" w:cs="宋体"/>
          <w:b/>
          <w:color w:val="auto"/>
          <w:spacing w:val="20"/>
          <w:kern w:val="0"/>
          <w:sz w:val="32"/>
          <w:szCs w:val="32"/>
          <w:highlight w:val="none"/>
          <w:u w:val="single"/>
          <w:lang w:val="en-US" w:eastAsia="zh-CN"/>
        </w:rPr>
        <w:t>AHLF-20260019</w:t>
      </w:r>
      <w:bookmarkEnd w:id="1"/>
    </w:p>
    <w:p w14:paraId="4773C0A8">
      <w:pPr>
        <w:tabs>
          <w:tab w:val="left" w:pos="2410"/>
        </w:tabs>
        <w:adjustRightInd w:val="0"/>
        <w:snapToGrid w:val="0"/>
        <w:spacing w:line="480" w:lineRule="auto"/>
        <w:ind w:firstLine="420" w:firstLineChars="0"/>
        <w:rPr>
          <w:rFonts w:ascii="宋体" w:hAnsi="宋体" w:eastAsia="宋体" w:cs="宋体"/>
          <w:b/>
          <w:color w:val="auto"/>
          <w:spacing w:val="20"/>
          <w:kern w:val="0"/>
          <w:sz w:val="32"/>
          <w:szCs w:val="32"/>
          <w:highlight w:val="none"/>
        </w:rPr>
      </w:pPr>
      <w:r>
        <w:rPr>
          <w:rFonts w:hint="eastAsia" w:ascii="宋体" w:hAnsi="宋体" w:eastAsia="宋体" w:cs="宋体"/>
          <w:b/>
          <w:color w:val="auto"/>
          <w:spacing w:val="80"/>
          <w:kern w:val="0"/>
          <w:sz w:val="32"/>
          <w:szCs w:val="32"/>
          <w:highlight w:val="none"/>
          <w:fitText w:val="1280" w:id="1415717452"/>
        </w:rPr>
        <w:t>采购</w:t>
      </w:r>
      <w:r>
        <w:rPr>
          <w:rFonts w:hint="eastAsia" w:ascii="宋体" w:hAnsi="宋体" w:eastAsia="宋体" w:cs="宋体"/>
          <w:b/>
          <w:color w:val="auto"/>
          <w:spacing w:val="0"/>
          <w:kern w:val="0"/>
          <w:sz w:val="32"/>
          <w:szCs w:val="32"/>
          <w:highlight w:val="none"/>
          <w:fitText w:val="1280" w:id="1415717452"/>
        </w:rPr>
        <w:t>人</w:t>
      </w:r>
      <w:r>
        <w:rPr>
          <w:rFonts w:hint="eastAsia" w:ascii="宋体" w:hAnsi="宋体" w:eastAsia="宋体" w:cs="宋体"/>
          <w:b/>
          <w:color w:val="auto"/>
          <w:spacing w:val="20"/>
          <w:kern w:val="0"/>
          <w:sz w:val="32"/>
          <w:szCs w:val="32"/>
          <w:highlight w:val="none"/>
        </w:rPr>
        <w:t>：</w:t>
      </w:r>
      <w:r>
        <w:rPr>
          <w:rFonts w:hint="eastAsia" w:ascii="宋体" w:hAnsi="宋体" w:eastAsia="宋体" w:cs="宋体"/>
          <w:b/>
          <w:color w:val="auto"/>
          <w:spacing w:val="20"/>
          <w:kern w:val="0"/>
          <w:sz w:val="32"/>
          <w:szCs w:val="32"/>
          <w:highlight w:val="none"/>
          <w:u w:val="single"/>
          <w:lang w:eastAsia="zh-CN"/>
        </w:rPr>
        <w:t>中共界首市委社会工作部</w:t>
      </w:r>
    </w:p>
    <w:p w14:paraId="7C19BCDF">
      <w:pPr>
        <w:tabs>
          <w:tab w:val="left" w:pos="2410"/>
        </w:tabs>
        <w:adjustRightInd w:val="0"/>
        <w:snapToGrid w:val="0"/>
        <w:spacing w:line="480" w:lineRule="auto"/>
        <w:ind w:firstLine="420" w:firstLineChars="0"/>
        <w:rPr>
          <w:rFonts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lang w:eastAsia="zh-CN"/>
        </w:rPr>
        <w:t>安徽龙方工程咨询有限公司</w:t>
      </w:r>
    </w:p>
    <w:p w14:paraId="00B4D175">
      <w:pPr>
        <w:tabs>
          <w:tab w:val="left" w:pos="2410"/>
        </w:tabs>
        <w:adjustRightInd w:val="0"/>
        <w:snapToGrid w:val="0"/>
        <w:spacing w:line="480" w:lineRule="auto"/>
        <w:jc w:val="center"/>
        <w:rPr>
          <w:rFonts w:ascii="宋体" w:hAnsi="宋体" w:eastAsia="宋体" w:cs="宋体"/>
          <w:b/>
          <w:color w:val="auto"/>
          <w:sz w:val="36"/>
          <w:highlight w:val="none"/>
          <w:u w:val="none"/>
        </w:rPr>
      </w:pPr>
      <w:bookmarkStart w:id="2" w:name="_Toc10746"/>
      <w:bookmarkStart w:id="3" w:name="_Toc1422"/>
      <w:bookmarkStart w:id="4" w:name="_Toc18525"/>
      <w:r>
        <w:rPr>
          <w:rFonts w:hint="eastAsia" w:ascii="宋体" w:hAnsi="宋体" w:eastAsia="宋体" w:cs="宋体"/>
          <w:b/>
          <w:color w:val="auto"/>
          <w:sz w:val="36"/>
          <w:highlight w:val="none"/>
          <w:u w:val="none"/>
          <w:lang w:val="en-US" w:eastAsia="zh-CN"/>
        </w:rPr>
        <w:t>2026年7月</w:t>
      </w:r>
      <w:bookmarkEnd w:id="2"/>
      <w:bookmarkEnd w:id="3"/>
      <w:bookmarkEnd w:id="4"/>
    </w:p>
    <w:p w14:paraId="62A4BA7E">
      <w:pPr>
        <w:spacing w:line="360" w:lineRule="auto"/>
        <w:jc w:val="center"/>
        <w:rPr>
          <w:rFonts w:ascii="宋体" w:hAnsi="宋体" w:eastAsia="宋体" w:cs="宋体"/>
          <w:b/>
          <w:color w:val="auto"/>
          <w:sz w:val="36"/>
          <w:szCs w:val="36"/>
          <w:highlight w:val="none"/>
        </w:rPr>
        <w:sectPr>
          <w:headerReference r:id="rId3" w:type="default"/>
          <w:footerReference r:id="rId4" w:type="default"/>
          <w:pgSz w:w="11905" w:h="16838"/>
          <w:pgMar w:top="1417" w:right="1417" w:bottom="1417" w:left="1417" w:header="850" w:footer="992" w:gutter="0"/>
          <w:cols w:space="0" w:num="1"/>
          <w:docGrid w:linePitch="462" w:charSpace="0"/>
        </w:sectPr>
      </w:pPr>
    </w:p>
    <w:p w14:paraId="1F062B79">
      <w:pPr>
        <w:tabs>
          <w:tab w:val="left" w:pos="2410"/>
        </w:tabs>
        <w:autoSpaceDE w:val="0"/>
        <w:autoSpaceDN w:val="0"/>
        <w:adjustRightInd w:val="0"/>
        <w:snapToGrid w:val="0"/>
        <w:spacing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sdt>
      <w:sdtPr>
        <w:rPr>
          <w:rFonts w:ascii="宋体" w:hAnsi="宋体" w:eastAsia="宋体" w:cs="@仿宋_GB2312"/>
          <w:kern w:val="2"/>
          <w:sz w:val="21"/>
          <w:highlight w:val="none"/>
          <w:lang w:val="en-US" w:eastAsia="zh-CN" w:bidi="ar-SA"/>
        </w:rPr>
        <w:id w:val="147482023"/>
        <w15:color w:val="DBDBDB"/>
        <w:docPartObj>
          <w:docPartGallery w:val="Table of Contents"/>
          <w:docPartUnique/>
        </w:docPartObj>
      </w:sdtPr>
      <w:sdtEndPr>
        <w:rPr>
          <w:rFonts w:ascii="@仿宋_GB2312" w:hAnsi="@仿宋_GB2312" w:eastAsia="@仿宋_GB2312" w:cs="@仿宋_GB2312"/>
          <w:color w:val="auto"/>
          <w:kern w:val="2"/>
          <w:sz w:val="21"/>
          <w:highlight w:val="none"/>
          <w:lang w:val="en-US" w:eastAsia="zh-CN" w:bidi="ar-SA"/>
        </w:rPr>
      </w:sdtEndPr>
      <w:sdtContent>
        <w:p w14:paraId="78C7F5CA">
          <w:pPr>
            <w:spacing w:before="0" w:beforeLines="0" w:after="0" w:afterLines="0" w:line="480" w:lineRule="auto"/>
            <w:ind w:left="0" w:leftChars="0" w:right="0" w:rightChars="0" w:firstLine="0" w:firstLineChars="0"/>
            <w:jc w:val="center"/>
            <w:rPr>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55417271">
          <w:pPr>
            <w:pStyle w:val="37"/>
            <w:tabs>
              <w:tab w:val="right" w:leader="dot" w:pos="8959"/>
            </w:tabs>
            <w:spacing w:line="480" w:lineRule="auto"/>
            <w:rPr>
              <w:b/>
              <w:bCs/>
              <w:sz w:val="24"/>
              <w:szCs w:val="24"/>
              <w:highlight w:val="none"/>
            </w:rPr>
          </w:pPr>
          <w:r>
            <w:rPr>
              <w:b/>
              <w:bCs/>
              <w:color w:val="auto"/>
              <w:sz w:val="24"/>
              <w:szCs w:val="24"/>
              <w:highlight w:val="none"/>
            </w:rPr>
            <w:fldChar w:fldCharType="begin"/>
          </w:r>
          <w:r>
            <w:rPr>
              <w:b/>
              <w:bCs/>
              <w:sz w:val="24"/>
              <w:szCs w:val="24"/>
              <w:highlight w:val="none"/>
            </w:rPr>
            <w:instrText xml:space="preserve"> HYPERLINK \l _Toc7328 </w:instrText>
          </w:r>
          <w:r>
            <w:rPr>
              <w:b/>
              <w:bCs/>
              <w:sz w:val="24"/>
              <w:szCs w:val="24"/>
              <w:highlight w:val="none"/>
            </w:rPr>
            <w:fldChar w:fldCharType="separate"/>
          </w:r>
          <w:r>
            <w:rPr>
              <w:rFonts w:hint="eastAsia" w:ascii="宋体" w:hAnsi="宋体" w:eastAsia="宋体" w:cs="宋体"/>
              <w:b/>
              <w:bCs/>
              <w:sz w:val="24"/>
              <w:szCs w:val="24"/>
              <w:highlight w:val="none"/>
            </w:rPr>
            <w:t>第一章  竞争性磋商公告</w:t>
          </w:r>
          <w:r>
            <w:rPr>
              <w:b/>
              <w:bCs/>
              <w:sz w:val="24"/>
              <w:szCs w:val="24"/>
              <w:highlight w:val="none"/>
            </w:rPr>
            <w:tab/>
          </w:r>
          <w:r>
            <w:rPr>
              <w:b/>
              <w:bCs/>
              <w:sz w:val="24"/>
              <w:szCs w:val="24"/>
              <w:highlight w:val="none"/>
            </w:rPr>
            <w:fldChar w:fldCharType="begin"/>
          </w:r>
          <w:r>
            <w:rPr>
              <w:b/>
              <w:bCs/>
              <w:sz w:val="24"/>
              <w:szCs w:val="24"/>
              <w:highlight w:val="none"/>
            </w:rPr>
            <w:instrText xml:space="preserve"> PAGEREF _Toc7328 \h </w:instrText>
          </w:r>
          <w:r>
            <w:rPr>
              <w:b/>
              <w:bCs/>
              <w:sz w:val="24"/>
              <w:szCs w:val="24"/>
              <w:highlight w:val="none"/>
            </w:rPr>
            <w:fldChar w:fldCharType="separate"/>
          </w:r>
          <w:r>
            <w:rPr>
              <w:b/>
              <w:bCs/>
              <w:sz w:val="24"/>
              <w:szCs w:val="24"/>
              <w:highlight w:val="none"/>
            </w:rPr>
            <w:t>1</w:t>
          </w:r>
          <w:r>
            <w:rPr>
              <w:b/>
              <w:bCs/>
              <w:sz w:val="24"/>
              <w:szCs w:val="24"/>
              <w:highlight w:val="none"/>
            </w:rPr>
            <w:fldChar w:fldCharType="end"/>
          </w:r>
          <w:r>
            <w:rPr>
              <w:b/>
              <w:bCs/>
              <w:color w:val="auto"/>
              <w:sz w:val="24"/>
              <w:szCs w:val="24"/>
              <w:highlight w:val="none"/>
            </w:rPr>
            <w:fldChar w:fldCharType="end"/>
          </w:r>
        </w:p>
        <w:p w14:paraId="68E59A4B">
          <w:pPr>
            <w:pStyle w:val="37"/>
            <w:tabs>
              <w:tab w:val="right" w:leader="dot" w:pos="8959"/>
            </w:tabs>
            <w:spacing w:line="480" w:lineRule="auto"/>
            <w:rPr>
              <w:b/>
              <w:bCs/>
              <w:sz w:val="24"/>
              <w:szCs w:val="24"/>
              <w:highlight w:val="none"/>
            </w:rPr>
          </w:pPr>
          <w:r>
            <w:rPr>
              <w:b/>
              <w:bCs/>
              <w:color w:val="auto"/>
              <w:sz w:val="24"/>
              <w:szCs w:val="24"/>
              <w:highlight w:val="none"/>
            </w:rPr>
            <w:fldChar w:fldCharType="begin"/>
          </w:r>
          <w:r>
            <w:rPr>
              <w:b/>
              <w:bCs/>
              <w:sz w:val="24"/>
              <w:szCs w:val="24"/>
              <w:highlight w:val="none"/>
            </w:rPr>
            <w:instrText xml:space="preserve"> HYPERLINK \l _Toc32248 </w:instrText>
          </w:r>
          <w:r>
            <w:rPr>
              <w:b/>
              <w:bCs/>
              <w:sz w:val="24"/>
              <w:szCs w:val="24"/>
              <w:highlight w:val="none"/>
            </w:rPr>
            <w:fldChar w:fldCharType="separate"/>
          </w:r>
          <w:r>
            <w:rPr>
              <w:rFonts w:hint="eastAsia" w:ascii="宋体" w:hAnsi="宋体" w:eastAsia="宋体" w:cs="宋体"/>
              <w:b/>
              <w:bCs/>
              <w:sz w:val="24"/>
              <w:szCs w:val="24"/>
              <w:highlight w:val="none"/>
            </w:rPr>
            <w:t>第二章  供应商须知</w:t>
          </w:r>
          <w:r>
            <w:rPr>
              <w:b/>
              <w:bCs/>
              <w:sz w:val="24"/>
              <w:szCs w:val="24"/>
              <w:highlight w:val="none"/>
            </w:rPr>
            <w:tab/>
          </w:r>
          <w:r>
            <w:rPr>
              <w:b/>
              <w:bCs/>
              <w:sz w:val="24"/>
              <w:szCs w:val="24"/>
              <w:highlight w:val="none"/>
            </w:rPr>
            <w:fldChar w:fldCharType="begin"/>
          </w:r>
          <w:r>
            <w:rPr>
              <w:b/>
              <w:bCs/>
              <w:sz w:val="24"/>
              <w:szCs w:val="24"/>
              <w:highlight w:val="none"/>
            </w:rPr>
            <w:instrText xml:space="preserve"> PAGEREF _Toc32248 \h </w:instrText>
          </w:r>
          <w:r>
            <w:rPr>
              <w:b/>
              <w:bCs/>
              <w:sz w:val="24"/>
              <w:szCs w:val="24"/>
              <w:highlight w:val="none"/>
            </w:rPr>
            <w:fldChar w:fldCharType="separate"/>
          </w:r>
          <w:r>
            <w:rPr>
              <w:b/>
              <w:bCs/>
              <w:sz w:val="24"/>
              <w:szCs w:val="24"/>
              <w:highlight w:val="none"/>
            </w:rPr>
            <w:t>3</w:t>
          </w:r>
          <w:r>
            <w:rPr>
              <w:b/>
              <w:bCs/>
              <w:sz w:val="24"/>
              <w:szCs w:val="24"/>
              <w:highlight w:val="none"/>
            </w:rPr>
            <w:fldChar w:fldCharType="end"/>
          </w:r>
          <w:r>
            <w:rPr>
              <w:b/>
              <w:bCs/>
              <w:color w:val="auto"/>
              <w:sz w:val="24"/>
              <w:szCs w:val="24"/>
              <w:highlight w:val="none"/>
            </w:rPr>
            <w:fldChar w:fldCharType="end"/>
          </w:r>
        </w:p>
        <w:p w14:paraId="29732D09">
          <w:pPr>
            <w:pStyle w:val="37"/>
            <w:tabs>
              <w:tab w:val="right" w:leader="dot" w:pos="8959"/>
            </w:tabs>
            <w:spacing w:line="480" w:lineRule="auto"/>
            <w:rPr>
              <w:b/>
              <w:bCs/>
              <w:sz w:val="24"/>
              <w:szCs w:val="24"/>
              <w:highlight w:val="none"/>
            </w:rPr>
          </w:pPr>
          <w:r>
            <w:rPr>
              <w:b/>
              <w:bCs/>
              <w:color w:val="auto"/>
              <w:sz w:val="24"/>
              <w:szCs w:val="24"/>
              <w:highlight w:val="none"/>
            </w:rPr>
            <w:fldChar w:fldCharType="begin"/>
          </w:r>
          <w:r>
            <w:rPr>
              <w:b/>
              <w:bCs/>
              <w:sz w:val="24"/>
              <w:szCs w:val="24"/>
              <w:highlight w:val="none"/>
            </w:rPr>
            <w:instrText xml:space="preserve"> HYPERLINK \l _Toc11693 </w:instrText>
          </w:r>
          <w:r>
            <w:rPr>
              <w:b/>
              <w:bCs/>
              <w:sz w:val="24"/>
              <w:szCs w:val="24"/>
              <w:highlight w:val="none"/>
            </w:rPr>
            <w:fldChar w:fldCharType="separate"/>
          </w:r>
          <w:r>
            <w:rPr>
              <w:rFonts w:hint="eastAsia" w:ascii="宋体" w:hAnsi="宋体" w:eastAsia="宋体" w:cs="宋体"/>
              <w:b/>
              <w:bCs/>
              <w:sz w:val="24"/>
              <w:szCs w:val="24"/>
              <w:highlight w:val="none"/>
            </w:rPr>
            <w:t>第三章  采购需求</w:t>
          </w:r>
          <w:r>
            <w:rPr>
              <w:b/>
              <w:bCs/>
              <w:sz w:val="24"/>
              <w:szCs w:val="24"/>
              <w:highlight w:val="none"/>
            </w:rPr>
            <w:tab/>
          </w:r>
          <w:r>
            <w:rPr>
              <w:b/>
              <w:bCs/>
              <w:sz w:val="24"/>
              <w:szCs w:val="24"/>
              <w:highlight w:val="none"/>
            </w:rPr>
            <w:fldChar w:fldCharType="begin"/>
          </w:r>
          <w:r>
            <w:rPr>
              <w:b/>
              <w:bCs/>
              <w:sz w:val="24"/>
              <w:szCs w:val="24"/>
              <w:highlight w:val="none"/>
            </w:rPr>
            <w:instrText xml:space="preserve"> PAGEREF _Toc11693 \h </w:instrText>
          </w:r>
          <w:r>
            <w:rPr>
              <w:b/>
              <w:bCs/>
              <w:sz w:val="24"/>
              <w:szCs w:val="24"/>
              <w:highlight w:val="none"/>
            </w:rPr>
            <w:fldChar w:fldCharType="separate"/>
          </w:r>
          <w:r>
            <w:rPr>
              <w:b/>
              <w:bCs/>
              <w:sz w:val="24"/>
              <w:szCs w:val="24"/>
              <w:highlight w:val="none"/>
            </w:rPr>
            <w:t>25</w:t>
          </w:r>
          <w:r>
            <w:rPr>
              <w:b/>
              <w:bCs/>
              <w:sz w:val="24"/>
              <w:szCs w:val="24"/>
              <w:highlight w:val="none"/>
            </w:rPr>
            <w:fldChar w:fldCharType="end"/>
          </w:r>
          <w:r>
            <w:rPr>
              <w:b/>
              <w:bCs/>
              <w:color w:val="auto"/>
              <w:sz w:val="24"/>
              <w:szCs w:val="24"/>
              <w:highlight w:val="none"/>
            </w:rPr>
            <w:fldChar w:fldCharType="end"/>
          </w:r>
        </w:p>
        <w:p w14:paraId="6D1B9D42">
          <w:pPr>
            <w:pStyle w:val="37"/>
            <w:tabs>
              <w:tab w:val="right" w:leader="dot" w:pos="8959"/>
            </w:tabs>
            <w:spacing w:line="480" w:lineRule="auto"/>
            <w:rPr>
              <w:b/>
              <w:bCs/>
              <w:sz w:val="24"/>
              <w:szCs w:val="24"/>
              <w:highlight w:val="none"/>
            </w:rPr>
          </w:pPr>
          <w:r>
            <w:rPr>
              <w:b/>
              <w:bCs/>
              <w:color w:val="auto"/>
              <w:sz w:val="24"/>
              <w:szCs w:val="24"/>
              <w:highlight w:val="none"/>
            </w:rPr>
            <w:fldChar w:fldCharType="begin"/>
          </w:r>
          <w:r>
            <w:rPr>
              <w:b/>
              <w:bCs/>
              <w:sz w:val="24"/>
              <w:szCs w:val="24"/>
              <w:highlight w:val="none"/>
            </w:rPr>
            <w:instrText xml:space="preserve"> HYPERLINK \l _Toc15683 </w:instrText>
          </w:r>
          <w:r>
            <w:rPr>
              <w:b/>
              <w:bCs/>
              <w:sz w:val="24"/>
              <w:szCs w:val="24"/>
              <w:highlight w:val="none"/>
            </w:rPr>
            <w:fldChar w:fldCharType="separate"/>
          </w:r>
          <w:r>
            <w:rPr>
              <w:rFonts w:hint="eastAsia" w:ascii="宋体" w:hAnsi="宋体" w:eastAsia="宋体" w:cs="宋体"/>
              <w:b/>
              <w:bCs/>
              <w:sz w:val="24"/>
              <w:szCs w:val="24"/>
              <w:highlight w:val="none"/>
            </w:rPr>
            <w:t>第四章  评审方法和标准</w:t>
          </w:r>
          <w:r>
            <w:rPr>
              <w:b/>
              <w:bCs/>
              <w:sz w:val="24"/>
              <w:szCs w:val="24"/>
              <w:highlight w:val="none"/>
            </w:rPr>
            <w:tab/>
          </w:r>
          <w:r>
            <w:rPr>
              <w:b/>
              <w:bCs/>
              <w:sz w:val="24"/>
              <w:szCs w:val="24"/>
              <w:highlight w:val="none"/>
            </w:rPr>
            <w:fldChar w:fldCharType="begin"/>
          </w:r>
          <w:r>
            <w:rPr>
              <w:b/>
              <w:bCs/>
              <w:sz w:val="24"/>
              <w:szCs w:val="24"/>
              <w:highlight w:val="none"/>
            </w:rPr>
            <w:instrText xml:space="preserve"> PAGEREF _Toc15683 \h </w:instrText>
          </w:r>
          <w:r>
            <w:rPr>
              <w:b/>
              <w:bCs/>
              <w:sz w:val="24"/>
              <w:szCs w:val="24"/>
              <w:highlight w:val="none"/>
            </w:rPr>
            <w:fldChar w:fldCharType="separate"/>
          </w:r>
          <w:r>
            <w:rPr>
              <w:b/>
              <w:bCs/>
              <w:sz w:val="24"/>
              <w:szCs w:val="24"/>
              <w:highlight w:val="none"/>
            </w:rPr>
            <w:t>29</w:t>
          </w:r>
          <w:r>
            <w:rPr>
              <w:b/>
              <w:bCs/>
              <w:sz w:val="24"/>
              <w:szCs w:val="24"/>
              <w:highlight w:val="none"/>
            </w:rPr>
            <w:fldChar w:fldCharType="end"/>
          </w:r>
          <w:r>
            <w:rPr>
              <w:b/>
              <w:bCs/>
              <w:color w:val="auto"/>
              <w:sz w:val="24"/>
              <w:szCs w:val="24"/>
              <w:highlight w:val="none"/>
            </w:rPr>
            <w:fldChar w:fldCharType="end"/>
          </w:r>
        </w:p>
        <w:p w14:paraId="7266CB4C">
          <w:pPr>
            <w:pStyle w:val="37"/>
            <w:tabs>
              <w:tab w:val="right" w:leader="dot" w:pos="8959"/>
            </w:tabs>
            <w:spacing w:line="480" w:lineRule="auto"/>
            <w:rPr>
              <w:b/>
              <w:bCs/>
              <w:sz w:val="24"/>
              <w:szCs w:val="24"/>
              <w:highlight w:val="none"/>
            </w:rPr>
          </w:pPr>
          <w:r>
            <w:rPr>
              <w:b/>
              <w:bCs/>
              <w:color w:val="auto"/>
              <w:sz w:val="24"/>
              <w:szCs w:val="24"/>
              <w:highlight w:val="none"/>
            </w:rPr>
            <w:fldChar w:fldCharType="begin"/>
          </w:r>
          <w:r>
            <w:rPr>
              <w:b/>
              <w:bCs/>
              <w:sz w:val="24"/>
              <w:szCs w:val="24"/>
              <w:highlight w:val="none"/>
            </w:rPr>
            <w:instrText xml:space="preserve"> HYPERLINK \l _Toc5626 </w:instrText>
          </w:r>
          <w:r>
            <w:rPr>
              <w:b/>
              <w:bCs/>
              <w:sz w:val="24"/>
              <w:szCs w:val="24"/>
              <w:highlight w:val="none"/>
            </w:rPr>
            <w:fldChar w:fldCharType="separate"/>
          </w:r>
          <w:r>
            <w:rPr>
              <w:rFonts w:hint="eastAsia" w:ascii="宋体" w:hAnsi="宋体" w:eastAsia="宋体" w:cs="宋体"/>
              <w:b/>
              <w:bCs/>
              <w:sz w:val="24"/>
              <w:szCs w:val="24"/>
              <w:highlight w:val="none"/>
            </w:rPr>
            <w:t>第五章  政府采购合同</w:t>
          </w:r>
          <w:r>
            <w:rPr>
              <w:b/>
              <w:bCs/>
              <w:sz w:val="24"/>
              <w:szCs w:val="24"/>
              <w:highlight w:val="none"/>
            </w:rPr>
            <w:tab/>
          </w:r>
          <w:r>
            <w:rPr>
              <w:b/>
              <w:bCs/>
              <w:sz w:val="24"/>
              <w:szCs w:val="24"/>
              <w:highlight w:val="none"/>
            </w:rPr>
            <w:fldChar w:fldCharType="begin"/>
          </w:r>
          <w:r>
            <w:rPr>
              <w:b/>
              <w:bCs/>
              <w:sz w:val="24"/>
              <w:szCs w:val="24"/>
              <w:highlight w:val="none"/>
            </w:rPr>
            <w:instrText xml:space="preserve"> PAGEREF _Toc5626 \h </w:instrText>
          </w:r>
          <w:r>
            <w:rPr>
              <w:b/>
              <w:bCs/>
              <w:sz w:val="24"/>
              <w:szCs w:val="24"/>
              <w:highlight w:val="none"/>
            </w:rPr>
            <w:fldChar w:fldCharType="separate"/>
          </w:r>
          <w:r>
            <w:rPr>
              <w:b/>
              <w:bCs/>
              <w:sz w:val="24"/>
              <w:szCs w:val="24"/>
              <w:highlight w:val="none"/>
            </w:rPr>
            <w:t>35</w:t>
          </w:r>
          <w:r>
            <w:rPr>
              <w:b/>
              <w:bCs/>
              <w:sz w:val="24"/>
              <w:szCs w:val="24"/>
              <w:highlight w:val="none"/>
            </w:rPr>
            <w:fldChar w:fldCharType="end"/>
          </w:r>
          <w:r>
            <w:rPr>
              <w:b/>
              <w:bCs/>
              <w:color w:val="auto"/>
              <w:sz w:val="24"/>
              <w:szCs w:val="24"/>
              <w:highlight w:val="none"/>
            </w:rPr>
            <w:fldChar w:fldCharType="end"/>
          </w:r>
        </w:p>
        <w:p w14:paraId="19BD7141">
          <w:pPr>
            <w:pStyle w:val="37"/>
            <w:tabs>
              <w:tab w:val="right" w:leader="dot" w:pos="8959"/>
            </w:tabs>
            <w:spacing w:line="480" w:lineRule="auto"/>
            <w:rPr>
              <w:b/>
              <w:bCs/>
              <w:sz w:val="24"/>
              <w:szCs w:val="24"/>
              <w:highlight w:val="none"/>
            </w:rPr>
          </w:pPr>
          <w:r>
            <w:rPr>
              <w:b/>
              <w:bCs/>
              <w:color w:val="auto"/>
              <w:sz w:val="24"/>
              <w:szCs w:val="24"/>
              <w:highlight w:val="none"/>
            </w:rPr>
            <w:fldChar w:fldCharType="begin"/>
          </w:r>
          <w:r>
            <w:rPr>
              <w:b/>
              <w:bCs/>
              <w:sz w:val="24"/>
              <w:szCs w:val="24"/>
              <w:highlight w:val="none"/>
            </w:rPr>
            <w:instrText xml:space="preserve"> HYPERLINK \l _Toc20352 </w:instrText>
          </w:r>
          <w:r>
            <w:rPr>
              <w:b/>
              <w:bCs/>
              <w:sz w:val="24"/>
              <w:szCs w:val="24"/>
              <w:highlight w:val="none"/>
            </w:rPr>
            <w:fldChar w:fldCharType="separate"/>
          </w:r>
          <w:r>
            <w:rPr>
              <w:rFonts w:hint="eastAsia" w:ascii="宋体" w:hAnsi="宋体" w:eastAsia="宋体" w:cs="宋体"/>
              <w:b/>
              <w:bCs/>
              <w:sz w:val="24"/>
              <w:szCs w:val="24"/>
              <w:highlight w:val="none"/>
            </w:rPr>
            <w:t>第六章  响应文件格式</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_Toc20352 \h </w:instrText>
          </w:r>
          <w:r>
            <w:rPr>
              <w:b/>
              <w:bCs/>
              <w:sz w:val="24"/>
              <w:szCs w:val="24"/>
              <w:highlight w:val="none"/>
            </w:rPr>
            <w:fldChar w:fldCharType="separate"/>
          </w:r>
          <w:r>
            <w:rPr>
              <w:b/>
              <w:bCs/>
              <w:sz w:val="24"/>
              <w:szCs w:val="24"/>
              <w:highlight w:val="none"/>
            </w:rPr>
            <w:t>44</w:t>
          </w:r>
          <w:r>
            <w:rPr>
              <w:b/>
              <w:bCs/>
              <w:sz w:val="24"/>
              <w:szCs w:val="24"/>
              <w:highlight w:val="none"/>
            </w:rPr>
            <w:fldChar w:fldCharType="end"/>
          </w:r>
          <w:r>
            <w:rPr>
              <w:b/>
              <w:bCs/>
              <w:color w:val="auto"/>
              <w:sz w:val="24"/>
              <w:szCs w:val="24"/>
              <w:highlight w:val="none"/>
            </w:rPr>
            <w:fldChar w:fldCharType="end"/>
          </w:r>
        </w:p>
        <w:p w14:paraId="34870681">
          <w:pPr>
            <w:pStyle w:val="37"/>
            <w:tabs>
              <w:tab w:val="right" w:leader="dot" w:pos="8959"/>
            </w:tabs>
            <w:spacing w:line="480" w:lineRule="auto"/>
            <w:rPr>
              <w:b/>
              <w:bCs/>
              <w:sz w:val="24"/>
              <w:szCs w:val="24"/>
              <w:highlight w:val="none"/>
            </w:rPr>
          </w:pPr>
          <w:r>
            <w:rPr>
              <w:b/>
              <w:bCs/>
              <w:color w:val="auto"/>
              <w:sz w:val="24"/>
              <w:szCs w:val="24"/>
              <w:highlight w:val="none"/>
            </w:rPr>
            <w:fldChar w:fldCharType="begin"/>
          </w:r>
          <w:r>
            <w:rPr>
              <w:b/>
              <w:bCs/>
              <w:sz w:val="24"/>
              <w:szCs w:val="24"/>
              <w:highlight w:val="none"/>
            </w:rPr>
            <w:instrText xml:space="preserve"> HYPERLINK \l _Toc11908 </w:instrText>
          </w:r>
          <w:r>
            <w:rPr>
              <w:b/>
              <w:bCs/>
              <w:sz w:val="24"/>
              <w:szCs w:val="24"/>
              <w:highlight w:val="none"/>
            </w:rPr>
            <w:fldChar w:fldCharType="separate"/>
          </w:r>
          <w:r>
            <w:rPr>
              <w:rFonts w:hint="eastAsia" w:ascii="宋体" w:hAnsi="宋体" w:eastAsia="宋体" w:cs="宋体"/>
              <w:b/>
              <w:bCs/>
              <w:sz w:val="24"/>
              <w:szCs w:val="24"/>
              <w:highlight w:val="none"/>
            </w:rPr>
            <w:t>第七章  政府采购供应商询问函和质疑函范本</w:t>
          </w:r>
          <w:r>
            <w:rPr>
              <w:b/>
              <w:bCs/>
              <w:sz w:val="24"/>
              <w:szCs w:val="24"/>
              <w:highlight w:val="none"/>
            </w:rPr>
            <w:tab/>
          </w:r>
          <w:r>
            <w:rPr>
              <w:b/>
              <w:bCs/>
              <w:sz w:val="24"/>
              <w:szCs w:val="24"/>
              <w:highlight w:val="none"/>
            </w:rPr>
            <w:fldChar w:fldCharType="begin"/>
          </w:r>
          <w:r>
            <w:rPr>
              <w:b/>
              <w:bCs/>
              <w:sz w:val="24"/>
              <w:szCs w:val="24"/>
              <w:highlight w:val="none"/>
            </w:rPr>
            <w:instrText xml:space="preserve"> PAGEREF _Toc11908 \h </w:instrText>
          </w:r>
          <w:r>
            <w:rPr>
              <w:b/>
              <w:bCs/>
              <w:sz w:val="24"/>
              <w:szCs w:val="24"/>
              <w:highlight w:val="none"/>
            </w:rPr>
            <w:fldChar w:fldCharType="separate"/>
          </w:r>
          <w:r>
            <w:rPr>
              <w:b/>
              <w:bCs/>
              <w:sz w:val="24"/>
              <w:szCs w:val="24"/>
              <w:highlight w:val="none"/>
            </w:rPr>
            <w:t>57</w:t>
          </w:r>
          <w:r>
            <w:rPr>
              <w:b/>
              <w:bCs/>
              <w:sz w:val="24"/>
              <w:szCs w:val="24"/>
              <w:highlight w:val="none"/>
            </w:rPr>
            <w:fldChar w:fldCharType="end"/>
          </w:r>
          <w:r>
            <w:rPr>
              <w:b/>
              <w:bCs/>
              <w:color w:val="auto"/>
              <w:sz w:val="24"/>
              <w:szCs w:val="24"/>
              <w:highlight w:val="none"/>
            </w:rPr>
            <w:fldChar w:fldCharType="end"/>
          </w:r>
        </w:p>
        <w:p w14:paraId="7F633A40">
          <w:pPr>
            <w:spacing w:line="480" w:lineRule="auto"/>
            <w:rPr>
              <w:rFonts w:ascii="@仿宋_GB2312" w:hAnsi="@仿宋_GB2312" w:eastAsia="@仿宋_GB2312" w:cs="@仿宋_GB2312"/>
              <w:color w:val="auto"/>
              <w:kern w:val="2"/>
              <w:sz w:val="21"/>
              <w:highlight w:val="none"/>
              <w:lang w:val="en-US" w:eastAsia="zh-CN" w:bidi="ar-SA"/>
            </w:rPr>
          </w:pPr>
          <w:r>
            <w:rPr>
              <w:color w:val="auto"/>
              <w:highlight w:val="none"/>
            </w:rPr>
            <w:fldChar w:fldCharType="end"/>
          </w:r>
        </w:p>
      </w:sdtContent>
    </w:sdt>
    <w:p w14:paraId="69E2B2F5">
      <w:pPr>
        <w:pStyle w:val="6"/>
        <w:spacing w:line="480" w:lineRule="auto"/>
        <w:rPr>
          <w:highlight w:val="none"/>
        </w:rPr>
      </w:pPr>
    </w:p>
    <w:p w14:paraId="50865DC5">
      <w:pPr>
        <w:widowControl/>
        <w:spacing w:line="360" w:lineRule="auto"/>
        <w:jc w:val="center"/>
        <w:outlineLvl w:val="9"/>
        <w:rPr>
          <w:rStyle w:val="27"/>
          <w:rFonts w:hint="eastAsia" w:ascii="宋体" w:hAnsi="宋体" w:eastAsia="宋体" w:cs="宋体"/>
          <w:color w:val="auto"/>
          <w:highlight w:val="none"/>
        </w:rPr>
        <w:sectPr>
          <w:footerReference r:id="rId5" w:type="default"/>
          <w:footnotePr>
            <w:numFmt w:val="decimalEnclosedCircleChinese"/>
            <w:numRestart w:val="eachPage"/>
          </w:footnotePr>
          <w:pgSz w:w="11907" w:h="16840"/>
          <w:pgMar w:top="1474" w:right="1474" w:bottom="1474" w:left="1474" w:header="0" w:footer="1149" w:gutter="0"/>
          <w:pgNumType w:fmt="decimal" w:start="1"/>
          <w:cols w:space="0" w:num="1"/>
          <w:rtlGutter w:val="0"/>
          <w:docGrid w:linePitch="0" w:charSpace="0"/>
        </w:sectPr>
      </w:pPr>
    </w:p>
    <w:p w14:paraId="5F4E7ED8">
      <w:pPr>
        <w:widowControl/>
        <w:spacing w:line="360" w:lineRule="auto"/>
        <w:jc w:val="center"/>
        <w:outlineLvl w:val="0"/>
        <w:rPr>
          <w:rStyle w:val="27"/>
          <w:rFonts w:ascii="宋体" w:hAnsi="宋体" w:eastAsia="宋体" w:cs="宋体"/>
          <w:color w:val="auto"/>
          <w:highlight w:val="none"/>
        </w:rPr>
      </w:pPr>
      <w:bookmarkStart w:id="5" w:name="_Toc7328"/>
      <w:r>
        <w:rPr>
          <w:rStyle w:val="27"/>
          <w:rFonts w:hint="eastAsia" w:ascii="宋体" w:hAnsi="宋体" w:eastAsia="宋体" w:cs="宋体"/>
          <w:color w:val="auto"/>
          <w:highlight w:val="none"/>
        </w:rPr>
        <w:t xml:space="preserve">第一章  </w:t>
      </w:r>
      <w:bookmarkStart w:id="392" w:name="_GoBack"/>
      <w:r>
        <w:rPr>
          <w:rStyle w:val="27"/>
          <w:rFonts w:hint="eastAsia" w:ascii="宋体" w:hAnsi="宋体" w:eastAsia="宋体" w:cs="宋体"/>
          <w:color w:val="auto"/>
          <w:highlight w:val="none"/>
        </w:rPr>
        <w:t>竞争性磋商公告</w:t>
      </w:r>
      <w:bookmarkEnd w:id="5"/>
    </w:p>
    <w:p w14:paraId="76D9D337">
      <w:pPr>
        <w:pStyle w:val="3"/>
        <w:keepNext/>
        <w:keepLines/>
        <w:pageBreakBefore w:val="0"/>
        <w:widowControl w:val="0"/>
        <w:kinsoku/>
        <w:wordWrap/>
        <w:overflowPunct/>
        <w:topLinePunct w:val="0"/>
        <w:autoSpaceDE/>
        <w:autoSpaceDN/>
        <w:bidi w:val="0"/>
        <w:adjustRightInd w:val="0"/>
        <w:snapToGrid/>
        <w:spacing w:before="0" w:beforeLines="50" w:after="0" w:afterLines="50" w:line="360" w:lineRule="auto"/>
        <w:jc w:val="left"/>
        <w:rPr>
          <w:rFonts w:hint="eastAsia" w:ascii="宋体" w:hAnsi="宋体" w:eastAsia="宋体" w:cs="宋体"/>
          <w:b/>
          <w:bCs w:val="0"/>
          <w:color w:val="auto"/>
          <w:kern w:val="2"/>
          <w:sz w:val="24"/>
          <w:szCs w:val="24"/>
          <w:highlight w:val="none"/>
          <w:lang w:val="en-US" w:eastAsia="zh-CN" w:bidi="ar-SA"/>
        </w:rPr>
      </w:pPr>
      <w:bookmarkStart w:id="6" w:name="_Toc4843"/>
      <w:r>
        <w:rPr>
          <w:rFonts w:hint="eastAsia" w:ascii="宋体" w:hAnsi="宋体" w:eastAsia="宋体" w:cs="宋体"/>
          <w:b/>
          <w:bCs w:val="0"/>
          <w:color w:val="auto"/>
          <w:kern w:val="2"/>
          <w:sz w:val="24"/>
          <w:szCs w:val="24"/>
          <w:highlight w:val="none"/>
          <w:lang w:val="en-US" w:eastAsia="zh-CN" w:bidi="ar-SA"/>
        </w:rPr>
        <w:t>项目概况</w:t>
      </w:r>
      <w:bookmarkEnd w:id="6"/>
    </w:p>
    <w:p w14:paraId="21D52706">
      <w:pPr>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安徽龙方工程咨询有限公司受中共界首市委社会工作部委托，现对界首市2026年-2028年度12345政务服务便民热线外包服务项目进行招标，欢迎符合条件的供应商参加响应，并于2026年7月13日15时00分（北京时间）前提交响应文件。</w:t>
      </w:r>
    </w:p>
    <w:p w14:paraId="53C94351">
      <w:pPr>
        <w:pStyle w:val="3"/>
        <w:keepNext/>
        <w:keepLines/>
        <w:pageBreakBefore w:val="0"/>
        <w:widowControl w:val="0"/>
        <w:kinsoku/>
        <w:wordWrap/>
        <w:overflowPunct/>
        <w:topLinePunct w:val="0"/>
        <w:autoSpaceDE/>
        <w:autoSpaceDN/>
        <w:bidi w:val="0"/>
        <w:adjustRightInd w:val="0"/>
        <w:snapToGrid/>
        <w:spacing w:before="0" w:beforeLines="50" w:after="0" w:afterLines="50" w:line="360" w:lineRule="auto"/>
        <w:jc w:val="left"/>
        <w:rPr>
          <w:rFonts w:hint="eastAsia" w:ascii="宋体" w:hAnsi="宋体" w:eastAsia="宋体" w:cs="宋体"/>
          <w:b/>
          <w:bCs w:val="0"/>
          <w:color w:val="auto"/>
          <w:kern w:val="2"/>
          <w:sz w:val="24"/>
          <w:szCs w:val="24"/>
          <w:highlight w:val="none"/>
          <w:lang w:val="en-US" w:eastAsia="zh-CN" w:bidi="ar-SA"/>
        </w:rPr>
      </w:pPr>
      <w:bookmarkStart w:id="7" w:name="_Toc17626"/>
      <w:bookmarkStart w:id="8" w:name="_Toc26713"/>
      <w:r>
        <w:rPr>
          <w:rFonts w:hint="eastAsia" w:ascii="宋体" w:hAnsi="宋体" w:eastAsia="宋体" w:cs="宋体"/>
          <w:b/>
          <w:bCs w:val="0"/>
          <w:color w:val="auto"/>
          <w:kern w:val="2"/>
          <w:sz w:val="24"/>
          <w:szCs w:val="24"/>
          <w:highlight w:val="none"/>
          <w:lang w:val="en-US" w:eastAsia="zh-CN" w:bidi="ar-SA"/>
        </w:rPr>
        <w:t>一、项目基本情况</w:t>
      </w:r>
      <w:bookmarkEnd w:id="7"/>
      <w:bookmarkEnd w:id="8"/>
    </w:p>
    <w:p w14:paraId="33DD9AB9">
      <w:pPr>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项目编号：AHLF-20260019</w:t>
      </w:r>
    </w:p>
    <w:p w14:paraId="1F32208A">
      <w:pPr>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项目名称：界首市2026年-2028年度12345政务服务便民热线外包服务项目</w:t>
      </w:r>
    </w:p>
    <w:p w14:paraId="7C94CB8A">
      <w:pPr>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采购方式：竞争性磋商</w:t>
      </w:r>
    </w:p>
    <w:p w14:paraId="04A0D40C">
      <w:pPr>
        <w:spacing w:line="360" w:lineRule="auto"/>
        <w:ind w:firstLine="480" w:firstLineChars="200"/>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预算金额：30</w:t>
      </w:r>
      <w:r>
        <w:rPr>
          <w:rFonts w:hint="eastAsia" w:ascii="宋体" w:hAnsi="宋体" w:eastAsia="宋体" w:cs="宋体"/>
          <w:color w:val="auto"/>
          <w:sz w:val="24"/>
          <w:szCs w:val="24"/>
          <w:highlight w:val="none"/>
          <w:lang w:val="en-US" w:eastAsia="zh-CN"/>
        </w:rPr>
        <w:t>万元/年</w:t>
      </w:r>
    </w:p>
    <w:p w14:paraId="39C70874">
      <w:pPr>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最高限价：30万元</w:t>
      </w:r>
      <w:r>
        <w:rPr>
          <w:rFonts w:hint="eastAsia" w:ascii="宋体" w:hAnsi="宋体" w:eastAsia="宋体" w:cs="宋体"/>
          <w:color w:val="auto"/>
          <w:sz w:val="24"/>
          <w:szCs w:val="24"/>
          <w:highlight w:val="none"/>
          <w:lang w:val="en-US" w:eastAsia="zh-CN"/>
        </w:rPr>
        <w:t>/年</w:t>
      </w:r>
    </w:p>
    <w:p w14:paraId="784065C7">
      <w:pPr>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采购需求：界首市2026年-2028年度12345政务服务便民热线外包服务项目，主要内容为提供 6 名坐席人员，对政务服务热线工单进行转办、催办、回复等，能够完成热线平台日常工作及单位交办的其它工作，详见第三章采购需求。</w:t>
      </w:r>
    </w:p>
    <w:p w14:paraId="2A658CE3">
      <w:pPr>
        <w:spacing w:line="360" w:lineRule="auto"/>
        <w:ind w:firstLine="480" w:firstLineChars="200"/>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合同履行期限：1+1+1年（合同一年一签。成交供应商第一年服务期满后采购人会同有关部门将对履约情况进行考核评估，如考核合格、履约良好，续签第二年合同，成交价不变，以此类推至第三年，否则终止合同。）</w:t>
      </w:r>
    </w:p>
    <w:p w14:paraId="7E1934C1">
      <w:pPr>
        <w:spacing w:line="360" w:lineRule="auto"/>
        <w:ind w:firstLine="480" w:firstLineChars="200"/>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本项目是否接受联合体：否</w:t>
      </w:r>
    </w:p>
    <w:p w14:paraId="2B3E7FD3">
      <w:pPr>
        <w:pStyle w:val="3"/>
        <w:keepNext/>
        <w:keepLines/>
        <w:pageBreakBefore w:val="0"/>
        <w:widowControl w:val="0"/>
        <w:kinsoku/>
        <w:wordWrap/>
        <w:overflowPunct/>
        <w:topLinePunct w:val="0"/>
        <w:autoSpaceDE/>
        <w:autoSpaceDN/>
        <w:bidi w:val="0"/>
        <w:adjustRightInd w:val="0"/>
        <w:snapToGrid/>
        <w:spacing w:before="0" w:beforeLines="50" w:after="0" w:afterLines="50" w:line="360" w:lineRule="auto"/>
        <w:jc w:val="left"/>
        <w:rPr>
          <w:rFonts w:hint="eastAsia" w:ascii="宋体" w:hAnsi="宋体" w:eastAsia="宋体" w:cs="宋体"/>
          <w:b/>
          <w:bCs w:val="0"/>
          <w:color w:val="auto"/>
          <w:kern w:val="2"/>
          <w:sz w:val="24"/>
          <w:szCs w:val="24"/>
          <w:highlight w:val="none"/>
          <w:lang w:val="en-US" w:eastAsia="zh-CN" w:bidi="ar-SA"/>
        </w:rPr>
      </w:pPr>
      <w:bookmarkStart w:id="9" w:name="_Toc31018"/>
      <w:bookmarkStart w:id="10" w:name="_Toc9178"/>
      <w:r>
        <w:rPr>
          <w:rFonts w:hint="eastAsia" w:ascii="宋体" w:hAnsi="宋体" w:eastAsia="宋体" w:cs="宋体"/>
          <w:b/>
          <w:bCs w:val="0"/>
          <w:color w:val="auto"/>
          <w:kern w:val="2"/>
          <w:sz w:val="24"/>
          <w:szCs w:val="24"/>
          <w:highlight w:val="none"/>
          <w:lang w:val="en-US" w:eastAsia="zh-CN" w:bidi="ar-SA"/>
        </w:rPr>
        <w:t>二、申请人的资格要求</w:t>
      </w:r>
      <w:bookmarkEnd w:id="9"/>
      <w:bookmarkEnd w:id="10"/>
    </w:p>
    <w:p w14:paraId="285F8571">
      <w:pPr>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1.满足《中华人民共和国政府采购法》第二十二条规定；</w:t>
      </w:r>
    </w:p>
    <w:p w14:paraId="2AA8FA60">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b w:val="0"/>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落实政府采购政策需满足的资格要求：无。</w:t>
      </w:r>
    </w:p>
    <w:p w14:paraId="51E1BF17">
      <w:pPr>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3.本项目的特定资格要求：无。</w:t>
      </w:r>
    </w:p>
    <w:p w14:paraId="756B100A">
      <w:pPr>
        <w:pStyle w:val="3"/>
        <w:keepNext/>
        <w:keepLines/>
        <w:pageBreakBefore w:val="0"/>
        <w:widowControl w:val="0"/>
        <w:kinsoku/>
        <w:wordWrap/>
        <w:overflowPunct/>
        <w:topLinePunct w:val="0"/>
        <w:autoSpaceDE/>
        <w:autoSpaceDN/>
        <w:bidi w:val="0"/>
        <w:adjustRightInd w:val="0"/>
        <w:snapToGrid/>
        <w:spacing w:before="0" w:beforeLines="50" w:after="0" w:afterLines="50" w:line="360" w:lineRule="auto"/>
        <w:jc w:val="left"/>
        <w:rPr>
          <w:rFonts w:hint="eastAsia" w:ascii="宋体" w:hAnsi="宋体" w:eastAsia="宋体" w:cs="宋体"/>
          <w:b/>
          <w:bCs w:val="0"/>
          <w:color w:val="auto"/>
          <w:kern w:val="2"/>
          <w:sz w:val="24"/>
          <w:szCs w:val="24"/>
          <w:highlight w:val="none"/>
          <w:lang w:val="en-US" w:eastAsia="zh-CN" w:bidi="ar-SA"/>
        </w:rPr>
      </w:pPr>
      <w:bookmarkStart w:id="11" w:name="_Toc25447"/>
      <w:bookmarkStart w:id="12" w:name="_Toc26775"/>
      <w:r>
        <w:rPr>
          <w:rFonts w:hint="eastAsia" w:ascii="宋体" w:hAnsi="宋体" w:eastAsia="宋体" w:cs="宋体"/>
          <w:b/>
          <w:bCs w:val="0"/>
          <w:color w:val="auto"/>
          <w:kern w:val="2"/>
          <w:sz w:val="24"/>
          <w:szCs w:val="24"/>
          <w:highlight w:val="none"/>
          <w:lang w:val="en-US" w:eastAsia="zh-CN" w:bidi="ar-SA"/>
        </w:rPr>
        <w:t>三、获取采购文件</w:t>
      </w:r>
      <w:bookmarkEnd w:id="11"/>
      <w:bookmarkEnd w:id="12"/>
    </w:p>
    <w:p w14:paraId="44FB42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1.采购公告及采购文件在</w:t>
      </w:r>
      <w:r>
        <w:rPr>
          <w:rFonts w:hint="eastAsia" w:ascii="宋体" w:hAnsi="宋体" w:eastAsia="宋体" w:cs="宋体"/>
          <w:b/>
          <w:bCs w:val="0"/>
          <w:color w:val="auto"/>
          <w:sz w:val="24"/>
          <w:highlight w:val="none"/>
          <w:lang w:eastAsia="zh-CN"/>
        </w:rPr>
        <w:t>《安徽省政府采购信息服务网》、</w:t>
      </w:r>
      <w:r>
        <w:rPr>
          <w:rFonts w:hint="eastAsia" w:ascii="宋体" w:hAnsi="宋体" w:eastAsia="宋体" w:cs="宋体"/>
          <w:b/>
          <w:bCs w:val="0"/>
          <w:color w:val="auto"/>
          <w:sz w:val="24"/>
          <w:highlight w:val="none"/>
          <w:lang w:val="en-US" w:eastAsia="zh-CN"/>
        </w:rPr>
        <w:t>《</w:t>
      </w:r>
      <w:r>
        <w:rPr>
          <w:rFonts w:hint="eastAsia" w:ascii="宋体" w:hAnsi="宋体" w:eastAsia="宋体" w:cs="宋体"/>
          <w:b/>
          <w:bCs w:val="0"/>
          <w:i w:val="0"/>
          <w:iCs w:val="0"/>
          <w:color w:val="auto"/>
          <w:sz w:val="24"/>
          <w:szCs w:val="24"/>
          <w:highlight w:val="none"/>
          <w:lang w:val="en-US" w:eastAsia="zh-CN"/>
        </w:rPr>
        <w:t>界首社会工作公众号》和《界首市人民政府》网站</w:t>
      </w:r>
      <w:r>
        <w:rPr>
          <w:rFonts w:hint="eastAsia" w:ascii="宋体" w:hAnsi="宋体" w:eastAsia="宋体" w:cs="宋体"/>
          <w:i w:val="0"/>
          <w:iCs w:val="0"/>
          <w:color w:val="auto"/>
          <w:sz w:val="24"/>
          <w:szCs w:val="24"/>
          <w:highlight w:val="none"/>
          <w:lang w:val="en-US" w:eastAsia="zh-CN"/>
        </w:rPr>
        <w:t>发布，自采购公告发布之日起，凡有意参加的供应商，可添加微信17705586201发送营业执照进行报名。（同时缴纳报名费500元，售后不退）。</w:t>
      </w:r>
    </w:p>
    <w:p w14:paraId="166DB2D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2.报名时间及报名截止时间：每天8:00到11:30，14:30到17:30。 截止时间2026年7月12日17点30分。</w:t>
      </w:r>
    </w:p>
    <w:p w14:paraId="51175A68">
      <w:pPr>
        <w:pStyle w:val="3"/>
        <w:keepNext/>
        <w:keepLines/>
        <w:pageBreakBefore w:val="0"/>
        <w:widowControl w:val="0"/>
        <w:kinsoku/>
        <w:wordWrap/>
        <w:overflowPunct/>
        <w:topLinePunct w:val="0"/>
        <w:autoSpaceDE/>
        <w:autoSpaceDN/>
        <w:bidi w:val="0"/>
        <w:adjustRightInd w:val="0"/>
        <w:snapToGrid/>
        <w:spacing w:before="0" w:beforeLines="50" w:after="0" w:afterLines="50" w:line="360" w:lineRule="auto"/>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四、响应文件提交</w:t>
      </w:r>
    </w:p>
    <w:p w14:paraId="41DA71D2">
      <w:pPr>
        <w:spacing w:line="360" w:lineRule="auto"/>
        <w:ind w:firstLine="54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截止时间：</w:t>
      </w:r>
      <w:r>
        <w:rPr>
          <w:rFonts w:hint="eastAsia" w:ascii="宋体" w:hAnsi="宋体" w:eastAsia="宋体" w:cs="宋体"/>
          <w:b w:val="0"/>
          <w:color w:val="auto"/>
          <w:kern w:val="2"/>
          <w:sz w:val="24"/>
          <w:szCs w:val="24"/>
          <w:highlight w:val="none"/>
          <w:u w:val="none"/>
          <w:lang w:val="en-US" w:eastAsia="zh-CN" w:bidi="ar-SA"/>
        </w:rPr>
        <w:t>2026年7月13日15时00分（</w:t>
      </w:r>
      <w:r>
        <w:rPr>
          <w:rFonts w:hint="eastAsia" w:ascii="宋体" w:hAnsi="宋体" w:eastAsia="宋体" w:cs="宋体"/>
          <w:b w:val="0"/>
          <w:color w:val="auto"/>
          <w:kern w:val="2"/>
          <w:sz w:val="24"/>
          <w:szCs w:val="24"/>
          <w:highlight w:val="none"/>
          <w:lang w:val="en-US" w:eastAsia="zh-CN" w:bidi="ar-SA"/>
        </w:rPr>
        <w:t>北京时间）（从磋商文件开始发出之日起至供应商提交首次响应文件截止之日止不得少于10日）</w:t>
      </w:r>
    </w:p>
    <w:p w14:paraId="59FD1FE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地点：界首市劳动路435号安徽龙方工程咨询有限公司</w:t>
      </w:r>
    </w:p>
    <w:p w14:paraId="4F3BCE8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逾期送达的或者未送达指定地点的、未按</w:t>
      </w:r>
      <w:r>
        <w:rPr>
          <w:rFonts w:hint="eastAsia" w:ascii="宋体" w:hAnsi="宋体" w:eastAsia="宋体" w:cs="宋体"/>
          <w:i w:val="0"/>
          <w:iCs w:val="0"/>
          <w:color w:val="auto"/>
          <w:sz w:val="24"/>
          <w:szCs w:val="24"/>
          <w:highlight w:val="none"/>
          <w:lang w:eastAsia="zh-CN"/>
        </w:rPr>
        <w:t>采购</w:t>
      </w:r>
      <w:r>
        <w:rPr>
          <w:rFonts w:hint="eastAsia" w:ascii="宋体" w:hAnsi="宋体" w:eastAsia="宋体" w:cs="宋体"/>
          <w:i w:val="0"/>
          <w:iCs w:val="0"/>
          <w:color w:val="auto"/>
          <w:sz w:val="24"/>
          <w:szCs w:val="24"/>
          <w:highlight w:val="none"/>
        </w:rPr>
        <w:t>文件要求密封</w:t>
      </w:r>
      <w:r>
        <w:rPr>
          <w:rFonts w:hint="eastAsia" w:ascii="宋体" w:hAnsi="宋体" w:eastAsia="宋体" w:cs="宋体"/>
          <w:i w:val="0"/>
          <w:iCs w:val="0"/>
          <w:color w:val="auto"/>
          <w:sz w:val="24"/>
          <w:szCs w:val="24"/>
          <w:highlight w:val="none"/>
          <w:lang w:eastAsia="zh-CN"/>
        </w:rPr>
        <w:t>响应</w:t>
      </w:r>
      <w:r>
        <w:rPr>
          <w:rFonts w:hint="eastAsia" w:ascii="宋体" w:hAnsi="宋体" w:eastAsia="宋体" w:cs="宋体"/>
          <w:i w:val="0"/>
          <w:iCs w:val="0"/>
          <w:color w:val="auto"/>
          <w:sz w:val="24"/>
          <w:szCs w:val="24"/>
          <w:highlight w:val="none"/>
        </w:rPr>
        <w:t>文件的，</w:t>
      </w:r>
      <w:r>
        <w:rPr>
          <w:rFonts w:hint="eastAsia" w:ascii="宋体" w:hAnsi="宋体" w:eastAsia="宋体" w:cs="宋体"/>
          <w:i w:val="0"/>
          <w:iCs w:val="0"/>
          <w:color w:val="auto"/>
          <w:sz w:val="24"/>
          <w:szCs w:val="24"/>
          <w:highlight w:val="none"/>
          <w:lang w:eastAsia="zh-CN"/>
        </w:rPr>
        <w:t>采购</w:t>
      </w:r>
      <w:r>
        <w:rPr>
          <w:rFonts w:hint="eastAsia" w:ascii="宋体" w:hAnsi="宋体" w:eastAsia="宋体" w:cs="宋体"/>
          <w:i w:val="0"/>
          <w:iCs w:val="0"/>
          <w:color w:val="auto"/>
          <w:sz w:val="24"/>
          <w:szCs w:val="24"/>
          <w:highlight w:val="none"/>
        </w:rPr>
        <w:t>人不予接收。</w:t>
      </w:r>
    </w:p>
    <w:p w14:paraId="424A2865">
      <w:pPr>
        <w:pStyle w:val="3"/>
        <w:keepNext/>
        <w:keepLines/>
        <w:pageBreakBefore w:val="0"/>
        <w:widowControl w:val="0"/>
        <w:kinsoku/>
        <w:wordWrap/>
        <w:overflowPunct/>
        <w:topLinePunct w:val="0"/>
        <w:autoSpaceDE/>
        <w:autoSpaceDN/>
        <w:bidi w:val="0"/>
        <w:adjustRightInd w:val="0"/>
        <w:snapToGrid/>
        <w:spacing w:before="0" w:beforeLines="50" w:after="0" w:afterLines="50" w:line="360" w:lineRule="auto"/>
        <w:jc w:val="left"/>
        <w:rPr>
          <w:rFonts w:hint="eastAsia" w:ascii="宋体" w:hAnsi="宋体" w:eastAsia="宋体" w:cs="宋体"/>
          <w:b/>
          <w:bCs w:val="0"/>
          <w:color w:val="auto"/>
          <w:kern w:val="2"/>
          <w:sz w:val="24"/>
          <w:szCs w:val="24"/>
          <w:highlight w:val="none"/>
          <w:lang w:val="en-US" w:eastAsia="zh-CN" w:bidi="ar-SA"/>
        </w:rPr>
      </w:pPr>
      <w:bookmarkStart w:id="13" w:name="_Toc22091"/>
      <w:r>
        <w:rPr>
          <w:rFonts w:hint="eastAsia" w:ascii="宋体" w:hAnsi="宋体" w:eastAsia="宋体" w:cs="宋体"/>
          <w:b/>
          <w:bCs w:val="0"/>
          <w:color w:val="auto"/>
          <w:kern w:val="2"/>
          <w:sz w:val="24"/>
          <w:szCs w:val="24"/>
          <w:highlight w:val="none"/>
          <w:lang w:val="en-US" w:eastAsia="zh-CN" w:bidi="ar-SA"/>
        </w:rPr>
        <w:t>五、开启</w:t>
      </w:r>
      <w:bookmarkEnd w:id="13"/>
    </w:p>
    <w:p w14:paraId="6D5005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时间：同响应文件提交截止时间。</w:t>
      </w:r>
    </w:p>
    <w:p w14:paraId="140C640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地点：同响应文件递交地点。</w:t>
      </w:r>
    </w:p>
    <w:p w14:paraId="6C88A475">
      <w:pPr>
        <w:pStyle w:val="3"/>
        <w:keepNext/>
        <w:keepLines/>
        <w:pageBreakBefore w:val="0"/>
        <w:widowControl w:val="0"/>
        <w:kinsoku/>
        <w:wordWrap/>
        <w:overflowPunct/>
        <w:topLinePunct w:val="0"/>
        <w:autoSpaceDE/>
        <w:autoSpaceDN/>
        <w:bidi w:val="0"/>
        <w:adjustRightInd w:val="0"/>
        <w:snapToGrid/>
        <w:spacing w:before="0" w:beforeLines="50" w:after="0" w:afterLines="50" w:line="360" w:lineRule="auto"/>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六、公告期限</w:t>
      </w:r>
    </w:p>
    <w:p w14:paraId="379046D2">
      <w:pPr>
        <w:spacing w:line="360" w:lineRule="auto"/>
        <w:ind w:firstLine="54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自本公告发布之日起10日。</w:t>
      </w:r>
    </w:p>
    <w:p w14:paraId="12AC250C">
      <w:pPr>
        <w:pStyle w:val="3"/>
        <w:keepNext/>
        <w:keepLines/>
        <w:pageBreakBefore w:val="0"/>
        <w:widowControl w:val="0"/>
        <w:kinsoku/>
        <w:wordWrap/>
        <w:overflowPunct/>
        <w:topLinePunct w:val="0"/>
        <w:autoSpaceDE/>
        <w:autoSpaceDN/>
        <w:bidi w:val="0"/>
        <w:adjustRightInd w:val="0"/>
        <w:snapToGrid/>
        <w:spacing w:before="0" w:beforeLines="50" w:after="0" w:afterLines="50" w:line="360" w:lineRule="auto"/>
        <w:jc w:val="left"/>
        <w:rPr>
          <w:rFonts w:hint="eastAsia" w:ascii="宋体" w:hAnsi="宋体" w:eastAsia="宋体" w:cs="宋体"/>
          <w:b/>
          <w:bCs w:val="0"/>
          <w:color w:val="auto"/>
          <w:kern w:val="2"/>
          <w:sz w:val="24"/>
          <w:szCs w:val="24"/>
          <w:highlight w:val="none"/>
          <w:lang w:val="en-US" w:eastAsia="zh-CN" w:bidi="ar-SA"/>
        </w:rPr>
      </w:pPr>
      <w:bookmarkStart w:id="14" w:name="_Toc7654"/>
      <w:bookmarkStart w:id="15" w:name="_Toc18807"/>
      <w:r>
        <w:rPr>
          <w:rFonts w:hint="eastAsia" w:ascii="宋体" w:hAnsi="宋体" w:eastAsia="宋体" w:cs="宋体"/>
          <w:b/>
          <w:bCs w:val="0"/>
          <w:color w:val="auto"/>
          <w:kern w:val="2"/>
          <w:sz w:val="24"/>
          <w:szCs w:val="24"/>
          <w:highlight w:val="none"/>
          <w:lang w:val="en-US" w:eastAsia="zh-CN" w:bidi="ar-SA"/>
        </w:rPr>
        <w:t>七、其他补充事宜</w:t>
      </w:r>
      <w:bookmarkEnd w:id="14"/>
      <w:bookmarkEnd w:id="15"/>
    </w:p>
    <w:p w14:paraId="617F198E">
      <w:pPr>
        <w:spacing w:line="360" w:lineRule="auto"/>
        <w:ind w:firstLine="54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无</w:t>
      </w:r>
    </w:p>
    <w:p w14:paraId="5A8C4280">
      <w:pPr>
        <w:pStyle w:val="3"/>
        <w:keepNext/>
        <w:keepLines/>
        <w:pageBreakBefore w:val="0"/>
        <w:widowControl w:val="0"/>
        <w:kinsoku/>
        <w:wordWrap/>
        <w:overflowPunct/>
        <w:topLinePunct w:val="0"/>
        <w:autoSpaceDE/>
        <w:autoSpaceDN/>
        <w:bidi w:val="0"/>
        <w:adjustRightInd w:val="0"/>
        <w:snapToGrid/>
        <w:spacing w:before="0" w:beforeLines="50" w:after="0" w:afterLines="50" w:line="360" w:lineRule="auto"/>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八、凡对本次采购提出询问，请按以下方式联系</w:t>
      </w:r>
    </w:p>
    <w:p w14:paraId="25A086F9">
      <w:pPr>
        <w:keepNext w:val="0"/>
        <w:keepLines w:val="0"/>
        <w:pageBreakBefore w:val="0"/>
        <w:widowControl w:val="0"/>
        <w:kinsoku/>
        <w:wordWrap/>
        <w:overflowPunct/>
        <w:topLinePunct w:val="0"/>
        <w:autoSpaceDE/>
        <w:autoSpaceDN/>
        <w:bidi w:val="0"/>
        <w:adjustRightInd/>
        <w:snapToGrid/>
        <w:spacing w:line="360" w:lineRule="auto"/>
        <w:ind w:firstLine="539"/>
        <w:rPr>
          <w:rFonts w:hint="eastAsia" w:ascii="宋体" w:hAnsi="宋体" w:eastAsia="宋体" w:cs="宋体"/>
          <w:b w:val="0"/>
          <w:color w:val="auto"/>
          <w:kern w:val="2"/>
          <w:sz w:val="24"/>
          <w:szCs w:val="24"/>
          <w:highlight w:val="none"/>
          <w:lang w:val="en-US" w:eastAsia="zh-CN" w:bidi="ar-SA"/>
        </w:rPr>
      </w:pPr>
      <w:bookmarkStart w:id="16" w:name="_Toc20282"/>
      <w:r>
        <w:rPr>
          <w:rFonts w:hint="eastAsia" w:ascii="宋体" w:hAnsi="宋体" w:eastAsia="宋体" w:cs="宋体"/>
          <w:b w:val="0"/>
          <w:color w:val="auto"/>
          <w:kern w:val="2"/>
          <w:sz w:val="24"/>
          <w:szCs w:val="24"/>
          <w:highlight w:val="none"/>
          <w:lang w:val="en-US" w:eastAsia="zh-CN" w:bidi="ar-SA"/>
        </w:rPr>
        <w:t>1.采购人信息</w:t>
      </w:r>
      <w:bookmarkEnd w:id="16"/>
    </w:p>
    <w:p w14:paraId="21C93FD7">
      <w:pPr>
        <w:keepNext w:val="0"/>
        <w:keepLines w:val="0"/>
        <w:pageBreakBefore w:val="0"/>
        <w:widowControl w:val="0"/>
        <w:kinsoku/>
        <w:wordWrap/>
        <w:overflowPunct/>
        <w:topLinePunct w:val="0"/>
        <w:autoSpaceDE/>
        <w:autoSpaceDN/>
        <w:bidi w:val="0"/>
        <w:adjustRightInd/>
        <w:snapToGrid/>
        <w:spacing w:line="360" w:lineRule="auto"/>
        <w:ind w:firstLine="53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名    称：中共界首市委社会工作部</w:t>
      </w:r>
    </w:p>
    <w:p w14:paraId="6A10D637">
      <w:pPr>
        <w:keepNext w:val="0"/>
        <w:keepLines w:val="0"/>
        <w:pageBreakBefore w:val="0"/>
        <w:widowControl w:val="0"/>
        <w:kinsoku/>
        <w:wordWrap/>
        <w:overflowPunct/>
        <w:topLinePunct w:val="0"/>
        <w:autoSpaceDE/>
        <w:autoSpaceDN/>
        <w:bidi w:val="0"/>
        <w:adjustRightInd/>
        <w:snapToGrid/>
        <w:spacing w:line="360" w:lineRule="auto"/>
        <w:ind w:firstLine="53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地    址：安徽省界首市人民路1号</w:t>
      </w:r>
    </w:p>
    <w:p w14:paraId="2116AE41">
      <w:pPr>
        <w:keepNext w:val="0"/>
        <w:keepLines w:val="0"/>
        <w:pageBreakBefore w:val="0"/>
        <w:widowControl w:val="0"/>
        <w:kinsoku/>
        <w:wordWrap/>
        <w:overflowPunct/>
        <w:topLinePunct w:val="0"/>
        <w:autoSpaceDE/>
        <w:autoSpaceDN/>
        <w:bidi w:val="0"/>
        <w:adjustRightInd/>
        <w:snapToGrid/>
        <w:spacing w:line="360" w:lineRule="auto"/>
        <w:ind w:firstLine="53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联系方式：13956789503</w:t>
      </w:r>
    </w:p>
    <w:p w14:paraId="0863B942">
      <w:pPr>
        <w:keepNext w:val="0"/>
        <w:keepLines w:val="0"/>
        <w:pageBreakBefore w:val="0"/>
        <w:widowControl w:val="0"/>
        <w:kinsoku/>
        <w:wordWrap/>
        <w:overflowPunct/>
        <w:topLinePunct w:val="0"/>
        <w:autoSpaceDE/>
        <w:autoSpaceDN/>
        <w:bidi w:val="0"/>
        <w:adjustRightInd/>
        <w:snapToGrid/>
        <w:spacing w:line="360" w:lineRule="auto"/>
        <w:ind w:firstLine="53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2.采购代理机构信息</w:t>
      </w:r>
    </w:p>
    <w:p w14:paraId="76D217D3">
      <w:pPr>
        <w:keepNext w:val="0"/>
        <w:keepLines w:val="0"/>
        <w:pageBreakBefore w:val="0"/>
        <w:widowControl w:val="0"/>
        <w:kinsoku/>
        <w:wordWrap/>
        <w:overflowPunct/>
        <w:topLinePunct w:val="0"/>
        <w:autoSpaceDE/>
        <w:autoSpaceDN/>
        <w:bidi w:val="0"/>
        <w:adjustRightInd/>
        <w:snapToGrid/>
        <w:spacing w:line="360" w:lineRule="auto"/>
        <w:ind w:firstLine="53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名    称：安徽龙方工程咨询有限公司</w:t>
      </w:r>
    </w:p>
    <w:p w14:paraId="664AB58C">
      <w:pPr>
        <w:keepNext w:val="0"/>
        <w:keepLines w:val="0"/>
        <w:pageBreakBefore w:val="0"/>
        <w:widowControl w:val="0"/>
        <w:kinsoku/>
        <w:wordWrap/>
        <w:overflowPunct/>
        <w:topLinePunct w:val="0"/>
        <w:autoSpaceDE/>
        <w:autoSpaceDN/>
        <w:bidi w:val="0"/>
        <w:adjustRightInd/>
        <w:snapToGrid/>
        <w:spacing w:line="360" w:lineRule="auto"/>
        <w:ind w:firstLine="53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地　　址：界首市劳动路435号</w:t>
      </w:r>
    </w:p>
    <w:p w14:paraId="6A35ED27">
      <w:pPr>
        <w:keepNext w:val="0"/>
        <w:keepLines w:val="0"/>
        <w:pageBreakBefore w:val="0"/>
        <w:widowControl w:val="0"/>
        <w:kinsoku/>
        <w:wordWrap/>
        <w:overflowPunct/>
        <w:topLinePunct w:val="0"/>
        <w:autoSpaceDE/>
        <w:autoSpaceDN/>
        <w:bidi w:val="0"/>
        <w:adjustRightInd/>
        <w:snapToGrid/>
        <w:spacing w:line="360" w:lineRule="auto"/>
        <w:ind w:firstLine="539"/>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联系方式：17705586201</w:t>
      </w:r>
    </w:p>
    <w:p w14:paraId="32E22398">
      <w:pPr>
        <w:keepNext w:val="0"/>
        <w:keepLines w:val="0"/>
        <w:pageBreakBefore w:val="0"/>
        <w:widowControl w:val="0"/>
        <w:kinsoku/>
        <w:wordWrap/>
        <w:overflowPunct/>
        <w:topLinePunct w:val="0"/>
        <w:autoSpaceDE/>
        <w:autoSpaceDN/>
        <w:bidi w:val="0"/>
        <w:adjustRightInd/>
        <w:snapToGrid/>
        <w:spacing w:line="360" w:lineRule="auto"/>
        <w:ind w:firstLine="539"/>
        <w:rPr>
          <w:rFonts w:hint="eastAsia" w:ascii="宋体" w:hAnsi="宋体" w:eastAsia="宋体" w:cs="宋体"/>
          <w:b w:val="0"/>
          <w:color w:val="auto"/>
          <w:kern w:val="2"/>
          <w:sz w:val="24"/>
          <w:szCs w:val="24"/>
          <w:highlight w:val="none"/>
          <w:lang w:val="en-US" w:eastAsia="zh-CN" w:bidi="ar-SA"/>
        </w:rPr>
      </w:pPr>
      <w:bookmarkStart w:id="17" w:name="_Toc15170"/>
      <w:r>
        <w:rPr>
          <w:rFonts w:hint="eastAsia" w:ascii="宋体" w:hAnsi="宋体" w:eastAsia="宋体" w:cs="宋体"/>
          <w:b w:val="0"/>
          <w:color w:val="auto"/>
          <w:kern w:val="2"/>
          <w:sz w:val="24"/>
          <w:szCs w:val="24"/>
          <w:highlight w:val="none"/>
          <w:lang w:val="en-US" w:eastAsia="zh-CN" w:bidi="ar-SA"/>
        </w:rPr>
        <w:t>3.项目联系方式</w:t>
      </w:r>
      <w:bookmarkEnd w:id="17"/>
    </w:p>
    <w:p w14:paraId="09977BD6">
      <w:pPr>
        <w:keepNext w:val="0"/>
        <w:keepLines w:val="0"/>
        <w:pageBreakBefore w:val="0"/>
        <w:widowControl w:val="0"/>
        <w:kinsoku/>
        <w:wordWrap/>
        <w:overflowPunct/>
        <w:topLinePunct w:val="0"/>
        <w:autoSpaceDE/>
        <w:autoSpaceDN/>
        <w:bidi w:val="0"/>
        <w:adjustRightInd/>
        <w:snapToGrid/>
        <w:spacing w:line="360" w:lineRule="auto"/>
        <w:ind w:firstLine="53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项目联系人：张工</w:t>
      </w:r>
    </w:p>
    <w:p w14:paraId="3E09FAFF">
      <w:pPr>
        <w:keepNext w:val="0"/>
        <w:keepLines w:val="0"/>
        <w:pageBreakBefore w:val="0"/>
        <w:widowControl w:val="0"/>
        <w:kinsoku/>
        <w:wordWrap/>
        <w:overflowPunct/>
        <w:topLinePunct w:val="0"/>
        <w:autoSpaceDE/>
        <w:autoSpaceDN/>
        <w:bidi w:val="0"/>
        <w:adjustRightInd/>
        <w:snapToGrid/>
        <w:spacing w:line="360" w:lineRule="auto"/>
        <w:ind w:firstLine="53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电　 　 话：17705586201</w:t>
      </w:r>
    </w:p>
    <w:bookmarkEnd w:id="392"/>
    <w:p w14:paraId="52153613">
      <w:pPr>
        <w:spacing w:line="360" w:lineRule="auto"/>
        <w:jc w:val="left"/>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291613A6">
      <w:pPr>
        <w:widowControl/>
        <w:spacing w:line="360" w:lineRule="auto"/>
        <w:jc w:val="center"/>
        <w:outlineLvl w:val="0"/>
        <w:rPr>
          <w:rStyle w:val="27"/>
          <w:rFonts w:ascii="宋体" w:hAnsi="宋体" w:eastAsia="宋体" w:cs="宋体"/>
          <w:color w:val="auto"/>
          <w:highlight w:val="none"/>
        </w:rPr>
      </w:pPr>
      <w:bookmarkStart w:id="18" w:name="_Toc7162"/>
      <w:bookmarkStart w:id="19" w:name="_Toc23966"/>
      <w:bookmarkStart w:id="20" w:name="_Toc31360"/>
      <w:bookmarkStart w:id="21" w:name="_Toc27910"/>
      <w:bookmarkStart w:id="22" w:name="_Toc26464"/>
      <w:bookmarkStart w:id="23" w:name="_Toc32248"/>
      <w:bookmarkStart w:id="24" w:name="_Toc2991"/>
      <w:bookmarkStart w:id="25" w:name="_Toc9401"/>
      <w:bookmarkStart w:id="26" w:name="_Toc8930"/>
      <w:bookmarkStart w:id="27" w:name="_Toc18662"/>
      <w:bookmarkStart w:id="28" w:name="_Toc2485"/>
      <w:r>
        <w:rPr>
          <w:rStyle w:val="27"/>
          <w:rFonts w:hint="eastAsia" w:ascii="宋体" w:hAnsi="宋体" w:eastAsia="宋体" w:cs="宋体"/>
          <w:color w:val="auto"/>
          <w:highlight w:val="none"/>
        </w:rPr>
        <w:t>第二章  供应商须知</w:t>
      </w:r>
      <w:bookmarkEnd w:id="18"/>
      <w:bookmarkEnd w:id="19"/>
      <w:bookmarkEnd w:id="20"/>
      <w:bookmarkEnd w:id="21"/>
      <w:bookmarkEnd w:id="22"/>
      <w:bookmarkEnd w:id="23"/>
      <w:bookmarkEnd w:id="24"/>
      <w:bookmarkEnd w:id="25"/>
      <w:bookmarkEnd w:id="26"/>
      <w:bookmarkEnd w:id="27"/>
      <w:bookmarkEnd w:id="28"/>
    </w:p>
    <w:p w14:paraId="0E145790">
      <w:pPr>
        <w:keepNext w:val="0"/>
        <w:keepLines w:val="0"/>
        <w:pageBreakBefore w:val="0"/>
        <w:widowControl w:val="0"/>
        <w:kinsoku/>
        <w:wordWrap/>
        <w:overflowPunct/>
        <w:topLinePunct w:val="0"/>
        <w:autoSpaceDE/>
        <w:autoSpaceDN/>
        <w:bidi w:val="0"/>
        <w:adjustRightInd/>
        <w:snapToGrid/>
        <w:spacing w:line="360" w:lineRule="auto"/>
        <w:jc w:val="center"/>
        <w:outlineLvl w:val="1"/>
        <w:rPr>
          <w:rFonts w:hint="eastAsia" w:ascii="宋体" w:hAnsi="宋体" w:eastAsia="宋体" w:cs="宋体"/>
          <w:b/>
          <w:color w:val="auto"/>
          <w:sz w:val="24"/>
          <w:highlight w:val="none"/>
        </w:rPr>
      </w:pPr>
      <w:bookmarkStart w:id="29" w:name="_Toc25569"/>
      <w:bookmarkStart w:id="30" w:name="_Toc11383"/>
      <w:bookmarkStart w:id="31" w:name="_Toc24272"/>
      <w:bookmarkStart w:id="32" w:name="_Toc11709"/>
      <w:r>
        <w:rPr>
          <w:rFonts w:hint="eastAsia" w:ascii="宋体" w:hAnsi="宋体" w:eastAsia="宋体" w:cs="宋体"/>
          <w:b/>
          <w:color w:val="auto"/>
          <w:sz w:val="24"/>
          <w:highlight w:val="none"/>
        </w:rPr>
        <w:t>一、供应商须知前附表</w:t>
      </w:r>
      <w:bookmarkEnd w:id="29"/>
      <w:bookmarkEnd w:id="30"/>
      <w:bookmarkEnd w:id="31"/>
      <w:bookmarkEnd w:id="32"/>
    </w:p>
    <w:p w14:paraId="78D5857A">
      <w:pPr>
        <w:keepNext w:val="0"/>
        <w:keepLines w:val="0"/>
        <w:pageBreakBefore w:val="0"/>
        <w:widowControl w:val="0"/>
        <w:kinsoku/>
        <w:wordWrap/>
        <w:overflowPunct/>
        <w:topLinePunct w:val="0"/>
        <w:autoSpaceDE/>
        <w:autoSpaceDN/>
        <w:bidi w:val="0"/>
        <w:adjustRightInd/>
        <w:snapToGrid/>
        <w:spacing w:line="360" w:lineRule="auto"/>
        <w:ind w:right="0" w:firstLine="476" w:firstLineChars="200"/>
        <w:jc w:val="left"/>
        <w:rPr>
          <w:highlight w:val="none"/>
        </w:rPr>
      </w:pPr>
      <w:r>
        <w:rPr>
          <w:rFonts w:hint="eastAsia" w:asciiTheme="minorEastAsia" w:hAnsiTheme="minorEastAsia" w:eastAsiaTheme="minorEastAsia" w:cstheme="minorEastAsia"/>
          <w:spacing w:val="-1"/>
          <w:sz w:val="24"/>
          <w:szCs w:val="24"/>
          <w:highlight w:val="none"/>
          <w14:textOutline w14:w="3831" w14:cap="flat" w14:cmpd="sng">
            <w14:solidFill>
              <w14:srgbClr w14:val="000000"/>
            </w14:solidFill>
            <w14:prstDash w14:val="solid"/>
            <w14:miter w14:val="0"/>
          </w14:textOutline>
        </w:rPr>
        <w:t>注：</w:t>
      </w:r>
      <w:r>
        <w:rPr>
          <w:rFonts w:hint="eastAsia" w:asciiTheme="minorEastAsia" w:hAnsiTheme="minorEastAsia" w:eastAsiaTheme="minorEastAsia" w:cstheme="minorEastAsia"/>
          <w:spacing w:val="-1"/>
          <w:sz w:val="24"/>
          <w:szCs w:val="24"/>
          <w:highlight w:val="none"/>
        </w:rPr>
        <w:t>本表是本项目的具体要求，</w:t>
      </w:r>
      <w:r>
        <w:rPr>
          <w:rFonts w:hint="eastAsia" w:asciiTheme="minorEastAsia" w:hAnsiTheme="minorEastAsia" w:eastAsiaTheme="minorEastAsia" w:cstheme="minorEastAsia"/>
          <w:spacing w:val="-86"/>
          <w:sz w:val="24"/>
          <w:szCs w:val="24"/>
          <w:highlight w:val="none"/>
        </w:rPr>
        <w:t xml:space="preserve"> </w:t>
      </w:r>
      <w:r>
        <w:rPr>
          <w:rFonts w:hint="eastAsia" w:asciiTheme="minorEastAsia" w:hAnsiTheme="minorEastAsia" w:eastAsiaTheme="minorEastAsia" w:cstheme="minorEastAsia"/>
          <w:spacing w:val="-1"/>
          <w:sz w:val="24"/>
          <w:szCs w:val="24"/>
          <w:highlight w:val="none"/>
        </w:rPr>
        <w:t>是对供应商须知的具体补充和修改，</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
          <w:sz w:val="24"/>
          <w:szCs w:val="24"/>
          <w:highlight w:val="none"/>
        </w:rPr>
        <w:t>如有不一致，</w:t>
      </w:r>
      <w:r>
        <w:rPr>
          <w:rFonts w:hint="eastAsia" w:asciiTheme="minorEastAsia" w:hAnsiTheme="minorEastAsia" w:eastAsiaTheme="minorEastAsia" w:cstheme="minorEastAsia"/>
          <w:spacing w:val="-85"/>
          <w:sz w:val="24"/>
          <w:szCs w:val="24"/>
          <w:highlight w:val="none"/>
        </w:rPr>
        <w:t xml:space="preserve"> </w:t>
      </w:r>
      <w:r>
        <w:rPr>
          <w:rFonts w:hint="eastAsia" w:asciiTheme="minorEastAsia" w:hAnsiTheme="minorEastAsia" w:eastAsiaTheme="minorEastAsia" w:cstheme="minorEastAsia"/>
          <w:spacing w:val="-5"/>
          <w:sz w:val="24"/>
          <w:szCs w:val="24"/>
          <w:highlight w:val="none"/>
        </w:rPr>
        <w:t>以本表为准。</w:t>
      </w:r>
    </w:p>
    <w:tbl>
      <w:tblPr>
        <w:tblStyle w:val="2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2120"/>
        <w:gridCol w:w="6028"/>
      </w:tblGrid>
      <w:tr w14:paraId="435F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6" w:type="pct"/>
            <w:vAlign w:val="center"/>
          </w:tcPr>
          <w:p w14:paraId="26285DC3">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1156" w:type="pct"/>
            <w:vAlign w:val="center"/>
          </w:tcPr>
          <w:p w14:paraId="71C9D1A6">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3287" w:type="pct"/>
            <w:vAlign w:val="center"/>
          </w:tcPr>
          <w:p w14:paraId="377415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51F3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6" w:type="pct"/>
            <w:shd w:val="clear" w:color="auto" w:fill="auto"/>
            <w:vAlign w:val="center"/>
          </w:tcPr>
          <w:p w14:paraId="656F73CF">
            <w:pPr>
              <w:pStyle w:val="28"/>
              <w:widowControl w:val="0"/>
              <w:numPr>
                <w:ilvl w:val="0"/>
                <w:numId w:val="1"/>
              </w:numPr>
              <w:spacing w:before="0" w:beforeAutospacing="0" w:after="0" w:afterAutospacing="0" w:line="240" w:lineRule="auto"/>
              <w:ind w:left="425" w:leftChars="0" w:hanging="425" w:firstLineChars="0"/>
              <w:rPr>
                <w:rFonts w:hint="eastAsia" w:ascii="宋体" w:hAnsi="宋体" w:eastAsia="宋体" w:cs="宋体"/>
                <w:b w:val="0"/>
                <w:bCs/>
                <w:color w:val="auto"/>
                <w:kern w:val="2"/>
                <w:sz w:val="24"/>
                <w:szCs w:val="20"/>
                <w:highlight w:val="none"/>
                <w:lang w:val="en-US" w:eastAsia="zh-CN"/>
              </w:rPr>
            </w:pPr>
          </w:p>
        </w:tc>
        <w:tc>
          <w:tcPr>
            <w:tcW w:w="1156" w:type="pct"/>
            <w:shd w:val="clear" w:color="auto" w:fill="auto"/>
            <w:vAlign w:val="center"/>
          </w:tcPr>
          <w:p w14:paraId="35C5C420">
            <w:pPr>
              <w:pStyle w:val="28"/>
              <w:widowControl w:val="0"/>
              <w:spacing w:before="0" w:beforeAutospacing="0" w:after="0" w:afterAutospacing="0" w:line="240" w:lineRule="auto"/>
              <w:jc w:val="center"/>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eastAsia="zh-CN"/>
              </w:rPr>
              <w:t>采购人</w:t>
            </w:r>
          </w:p>
        </w:tc>
        <w:tc>
          <w:tcPr>
            <w:tcW w:w="3287" w:type="pct"/>
            <w:shd w:val="clear" w:color="auto" w:fill="auto"/>
            <w:vAlign w:val="center"/>
          </w:tcPr>
          <w:p w14:paraId="6A81261D">
            <w:pPr>
              <w:pStyle w:val="28"/>
              <w:keepNext w:val="0"/>
              <w:keepLines w:val="0"/>
              <w:pageBreakBefore w:val="0"/>
              <w:widowControl w:val="0"/>
              <w:wordWrap/>
              <w:overflowPunct/>
              <w:topLinePunct w:val="0"/>
              <w:bidi w:val="0"/>
              <w:spacing w:before="0" w:beforeAutospacing="0" w:after="0" w:afterAutospacing="0" w:line="240" w:lineRule="auto"/>
              <w:ind w:left="105" w:leftChars="50" w:right="105" w:rightChars="50"/>
              <w:jc w:val="center"/>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eastAsia="zh-CN"/>
              </w:rPr>
              <w:t>中共界首市委社会工作部</w:t>
            </w:r>
          </w:p>
        </w:tc>
      </w:tr>
      <w:tr w14:paraId="46EF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6" w:type="pct"/>
            <w:shd w:val="clear" w:color="auto" w:fill="auto"/>
            <w:vAlign w:val="center"/>
          </w:tcPr>
          <w:p w14:paraId="4F75480A">
            <w:pPr>
              <w:pStyle w:val="28"/>
              <w:widowControl w:val="0"/>
              <w:numPr>
                <w:ilvl w:val="0"/>
                <w:numId w:val="1"/>
              </w:numPr>
              <w:spacing w:before="0" w:beforeAutospacing="0" w:after="0" w:afterAutospacing="0" w:line="360" w:lineRule="auto"/>
              <w:ind w:left="425" w:leftChars="0" w:hanging="425" w:firstLineChars="0"/>
              <w:rPr>
                <w:rFonts w:hint="eastAsia" w:ascii="宋体" w:hAnsi="宋体" w:eastAsia="宋体" w:cs="宋体"/>
                <w:b w:val="0"/>
                <w:bCs/>
                <w:color w:val="auto"/>
                <w:kern w:val="2"/>
                <w:sz w:val="24"/>
                <w:szCs w:val="20"/>
                <w:highlight w:val="none"/>
                <w:lang w:val="en-US" w:eastAsia="zh-CN"/>
              </w:rPr>
            </w:pPr>
          </w:p>
        </w:tc>
        <w:tc>
          <w:tcPr>
            <w:tcW w:w="1156" w:type="pct"/>
            <w:shd w:val="clear" w:color="auto" w:fill="auto"/>
            <w:vAlign w:val="center"/>
          </w:tcPr>
          <w:p w14:paraId="1EE07377">
            <w:pPr>
              <w:pStyle w:val="28"/>
              <w:widowControl w:val="0"/>
              <w:spacing w:before="0" w:beforeAutospacing="0" w:after="0" w:afterAutospacing="0" w:line="240" w:lineRule="auto"/>
              <w:jc w:val="center"/>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eastAsia="zh-CN"/>
              </w:rPr>
              <w:t>采购代理机构</w:t>
            </w:r>
          </w:p>
        </w:tc>
        <w:tc>
          <w:tcPr>
            <w:tcW w:w="3287" w:type="pct"/>
            <w:shd w:val="clear" w:color="auto" w:fill="auto"/>
            <w:vAlign w:val="center"/>
          </w:tcPr>
          <w:p w14:paraId="6E686938">
            <w:pPr>
              <w:pStyle w:val="28"/>
              <w:widowControl w:val="0"/>
              <w:spacing w:before="0" w:beforeAutospacing="0" w:after="0" w:afterAutospacing="0" w:line="240" w:lineRule="auto"/>
              <w:jc w:val="center"/>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val="en-US" w:eastAsia="zh-CN"/>
              </w:rPr>
              <w:t>安徽龙方工程咨询有限公司</w:t>
            </w:r>
          </w:p>
        </w:tc>
      </w:tr>
      <w:tr w14:paraId="603E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6" w:type="pct"/>
            <w:shd w:val="clear" w:color="auto" w:fill="auto"/>
            <w:vAlign w:val="center"/>
          </w:tcPr>
          <w:p w14:paraId="05FA30EE">
            <w:pPr>
              <w:pStyle w:val="28"/>
              <w:widowControl w:val="0"/>
              <w:numPr>
                <w:ilvl w:val="0"/>
                <w:numId w:val="1"/>
              </w:numPr>
              <w:spacing w:before="0" w:beforeAutospacing="0" w:after="0" w:afterAutospacing="0" w:line="360" w:lineRule="auto"/>
              <w:ind w:left="425" w:leftChars="0" w:hanging="425" w:firstLineChars="0"/>
              <w:rPr>
                <w:rFonts w:hint="eastAsia" w:ascii="宋体" w:hAnsi="宋体" w:eastAsia="宋体" w:cs="宋体"/>
                <w:b w:val="0"/>
                <w:bCs/>
                <w:color w:val="auto"/>
                <w:kern w:val="2"/>
                <w:sz w:val="24"/>
                <w:szCs w:val="20"/>
                <w:highlight w:val="none"/>
                <w:lang w:eastAsia="zh-CN"/>
              </w:rPr>
            </w:pPr>
          </w:p>
        </w:tc>
        <w:tc>
          <w:tcPr>
            <w:tcW w:w="1156" w:type="pct"/>
            <w:shd w:val="clear" w:color="auto" w:fill="auto"/>
            <w:vAlign w:val="center"/>
          </w:tcPr>
          <w:p w14:paraId="146BAFEB">
            <w:pPr>
              <w:pStyle w:val="28"/>
              <w:widowControl w:val="0"/>
              <w:spacing w:before="0" w:beforeAutospacing="0" w:after="0" w:afterAutospacing="0" w:line="360" w:lineRule="auto"/>
              <w:rPr>
                <w:rFonts w:ascii="宋体" w:hAnsi="宋体" w:eastAsia="宋体" w:cs="宋体"/>
                <w:bCs w:val="0"/>
                <w:color w:val="auto"/>
                <w:kern w:val="2"/>
                <w:sz w:val="24"/>
                <w:szCs w:val="20"/>
                <w:highlight w:val="none"/>
              </w:rPr>
            </w:pPr>
            <w:r>
              <w:rPr>
                <w:rFonts w:hint="eastAsia" w:ascii="宋体" w:hAnsi="宋体" w:eastAsia="宋体" w:cs="宋体"/>
                <w:b w:val="0"/>
                <w:color w:val="auto"/>
                <w:sz w:val="24"/>
                <w:highlight w:val="none"/>
              </w:rPr>
              <w:t>包别划分</w:t>
            </w:r>
          </w:p>
        </w:tc>
        <w:tc>
          <w:tcPr>
            <w:tcW w:w="3287" w:type="pct"/>
            <w:shd w:val="clear" w:color="auto" w:fill="auto"/>
            <w:vAlign w:val="center"/>
          </w:tcPr>
          <w:p w14:paraId="29C002D0">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不划分</w:t>
            </w:r>
            <w:r>
              <w:rPr>
                <w:rFonts w:hint="eastAsia" w:ascii="宋体" w:hAnsi="宋体" w:eastAsia="宋体" w:cs="宋体"/>
                <w:b w:val="0"/>
                <w:color w:val="auto"/>
                <w:sz w:val="24"/>
                <w:highlight w:val="none"/>
                <w:lang w:val="en-US" w:eastAsia="zh-CN"/>
              </w:rPr>
              <w:t xml:space="preserve">       </w:t>
            </w:r>
            <w:r>
              <w:rPr>
                <w:rFonts w:hint="eastAsia" w:ascii="宋体" w:hAnsi="宋体" w:eastAsia="宋体" w:cs="宋体"/>
                <w:b w:val="0"/>
                <w:color w:val="auto"/>
                <w:sz w:val="24"/>
                <w:highlight w:val="none"/>
              </w:rPr>
              <w:t>□分为   个包</w:t>
            </w:r>
          </w:p>
          <w:p w14:paraId="2F2E9C56">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left"/>
              <w:rPr>
                <w:rFonts w:hint="default"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rPr>
              <w:t>供应商参加多个包磋商的成交包数规定：</w:t>
            </w:r>
            <w:r>
              <w:rPr>
                <w:rFonts w:hint="eastAsia" w:ascii="宋体" w:hAnsi="宋体" w:eastAsia="宋体" w:cs="宋体"/>
                <w:b w:val="0"/>
                <w:color w:val="auto"/>
                <w:sz w:val="24"/>
                <w:highlight w:val="none"/>
                <w:lang w:val="en-US" w:eastAsia="zh-CN"/>
              </w:rPr>
              <w:t xml:space="preserve">/     </w:t>
            </w:r>
          </w:p>
        </w:tc>
      </w:tr>
      <w:tr w14:paraId="35AC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6" w:type="pct"/>
            <w:shd w:val="clear" w:color="auto" w:fill="auto"/>
            <w:vAlign w:val="center"/>
          </w:tcPr>
          <w:p w14:paraId="7E42DA99">
            <w:pPr>
              <w:pStyle w:val="28"/>
              <w:widowControl w:val="0"/>
              <w:numPr>
                <w:ilvl w:val="0"/>
                <w:numId w:val="1"/>
              </w:numPr>
              <w:spacing w:before="0" w:beforeAutospacing="0" w:after="0" w:afterAutospacing="0" w:line="360" w:lineRule="auto"/>
              <w:ind w:left="425" w:leftChars="0" w:hanging="425" w:firstLineChars="0"/>
              <w:rPr>
                <w:rFonts w:hint="eastAsia" w:ascii="宋体" w:hAnsi="宋体" w:eastAsia="宋体" w:cs="宋体"/>
                <w:b w:val="0"/>
                <w:bCs/>
                <w:color w:val="auto"/>
                <w:kern w:val="2"/>
                <w:sz w:val="24"/>
                <w:szCs w:val="20"/>
                <w:highlight w:val="none"/>
                <w:lang w:eastAsia="zh-CN"/>
              </w:rPr>
            </w:pPr>
          </w:p>
        </w:tc>
        <w:tc>
          <w:tcPr>
            <w:tcW w:w="1156" w:type="pct"/>
            <w:shd w:val="clear" w:color="auto" w:fill="auto"/>
            <w:vAlign w:val="center"/>
          </w:tcPr>
          <w:p w14:paraId="43C4167C">
            <w:pPr>
              <w:pStyle w:val="28"/>
              <w:widowControl w:val="0"/>
              <w:spacing w:before="0" w:beforeAutospacing="0" w:after="0" w:afterAutospacing="0" w:line="360" w:lineRule="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供应商不得存在的其他情形</w:t>
            </w:r>
          </w:p>
        </w:tc>
        <w:tc>
          <w:tcPr>
            <w:tcW w:w="3287" w:type="pct"/>
            <w:shd w:val="clear" w:color="auto" w:fill="auto"/>
            <w:vAlign w:val="center"/>
          </w:tcPr>
          <w:p w14:paraId="7A0C8388">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lef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 xml:space="preserve">  </w:t>
            </w:r>
            <w:r>
              <w:rPr>
                <w:rFonts w:hint="eastAsia" w:ascii="宋体" w:hAnsi="宋体" w:eastAsia="宋体" w:cs="宋体"/>
                <w:b w:val="0"/>
                <w:bCs/>
                <w:color w:val="auto"/>
                <w:kern w:val="2"/>
                <w:sz w:val="24"/>
                <w:szCs w:val="20"/>
                <w:highlight w:val="none"/>
                <w:lang w:eastAsia="zh-CN"/>
              </w:rPr>
              <w:t>无</w:t>
            </w:r>
            <w:r>
              <w:rPr>
                <w:rFonts w:hint="eastAsia" w:ascii="宋体" w:hAnsi="宋体" w:eastAsia="宋体" w:cs="宋体"/>
                <w:bCs w:val="0"/>
                <w:color w:val="auto"/>
                <w:kern w:val="2"/>
                <w:sz w:val="24"/>
                <w:szCs w:val="20"/>
                <w:highlight w:val="none"/>
              </w:rPr>
              <w:t xml:space="preserve">   </w:t>
            </w:r>
          </w:p>
        </w:tc>
      </w:tr>
      <w:tr w14:paraId="7135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6" w:type="pct"/>
            <w:vAlign w:val="center"/>
          </w:tcPr>
          <w:p w14:paraId="230CE21F">
            <w:pPr>
              <w:pStyle w:val="29"/>
              <w:numPr>
                <w:ilvl w:val="0"/>
                <w:numId w:val="1"/>
              </w:numPr>
              <w:pBdr>
                <w:bottom w:val="none" w:color="auto" w:sz="0" w:space="0"/>
              </w:pBdr>
              <w:tabs>
                <w:tab w:val="clear" w:pos="4153"/>
                <w:tab w:val="clear" w:pos="8306"/>
              </w:tabs>
              <w:adjustRightInd/>
              <w:spacing w:line="360" w:lineRule="auto"/>
              <w:ind w:left="425" w:leftChars="0" w:hanging="425" w:firstLineChars="0"/>
              <w:rPr>
                <w:rFonts w:hint="eastAsia" w:ascii="宋体" w:hAnsi="宋体" w:eastAsia="宋体" w:cs="宋体"/>
                <w:bCs/>
                <w:color w:val="auto"/>
                <w:kern w:val="2"/>
                <w:highlight w:val="none"/>
                <w:lang w:eastAsia="zh-CN"/>
              </w:rPr>
            </w:pPr>
          </w:p>
        </w:tc>
        <w:tc>
          <w:tcPr>
            <w:tcW w:w="1156" w:type="pct"/>
            <w:vAlign w:val="center"/>
          </w:tcPr>
          <w:p w14:paraId="4E339888">
            <w:pPr>
              <w:pStyle w:val="28"/>
              <w:widowControl w:val="0"/>
              <w:spacing w:before="0" w:beforeAutospacing="0" w:after="0" w:afterAutospacing="0" w:line="360" w:lineRule="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现场考察或标前答疑会</w:t>
            </w:r>
          </w:p>
        </w:tc>
        <w:tc>
          <w:tcPr>
            <w:tcW w:w="3287" w:type="pct"/>
            <w:vAlign w:val="center"/>
          </w:tcPr>
          <w:p w14:paraId="4A2817D4">
            <w:pPr>
              <w:keepNext w:val="0"/>
              <w:keepLines w:val="0"/>
              <w:pageBreakBefore w:val="0"/>
              <w:wordWrap/>
              <w:overflowPunct/>
              <w:topLinePunct w:val="0"/>
              <w:bidi w:val="0"/>
              <w:spacing w:line="360" w:lineRule="auto"/>
              <w:ind w:left="105" w:leftChars="50" w:right="105" w:rightChars="50"/>
              <w:rPr>
                <w:rFonts w:ascii="宋体" w:hAnsi="宋体" w:eastAsia="宋体" w:cs="宋体"/>
                <w:bCs/>
                <w:color w:val="auto"/>
                <w:sz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highlight w:val="none"/>
              </w:rPr>
              <w:t>不组织或不召开</w:t>
            </w:r>
          </w:p>
          <w:p w14:paraId="02E38AE2">
            <w:pPr>
              <w:keepNext w:val="0"/>
              <w:keepLines w:val="0"/>
              <w:pageBreakBefore w:val="0"/>
              <w:wordWrap/>
              <w:overflowPunct/>
              <w:topLinePunct w:val="0"/>
              <w:bidi w:val="0"/>
              <w:spacing w:line="360" w:lineRule="auto"/>
              <w:ind w:left="105" w:leftChars="50" w:right="105" w:rightChars="50"/>
              <w:rPr>
                <w:rFonts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统一组织或统一召开</w:t>
            </w:r>
          </w:p>
          <w:p w14:paraId="44459052">
            <w:pPr>
              <w:keepNext w:val="0"/>
              <w:keepLines w:val="0"/>
              <w:pageBreakBefore w:val="0"/>
              <w:wordWrap/>
              <w:overflowPunct/>
              <w:topLinePunct w:val="0"/>
              <w:bidi w:val="0"/>
              <w:spacing w:line="360" w:lineRule="auto"/>
              <w:ind w:left="105" w:leftChars="50" w:right="105" w:rightChars="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分</w:t>
            </w:r>
          </w:p>
          <w:p w14:paraId="7C0C3637">
            <w:pPr>
              <w:keepNext w:val="0"/>
              <w:keepLines w:val="0"/>
              <w:pageBreakBefore w:val="0"/>
              <w:wordWrap/>
              <w:overflowPunct/>
              <w:topLinePunct w:val="0"/>
              <w:bidi w:val="0"/>
              <w:spacing w:line="360" w:lineRule="auto"/>
              <w:ind w:left="105" w:leftChars="50" w:right="105" w:rightChars="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rPr>
              <w:t xml:space="preserve">                       </w:t>
            </w:r>
          </w:p>
          <w:p w14:paraId="6987E96D">
            <w:pPr>
              <w:keepNext w:val="0"/>
              <w:keepLines w:val="0"/>
              <w:pageBreakBefore w:val="0"/>
              <w:wordWrap/>
              <w:overflowPunct/>
              <w:topLinePunct w:val="0"/>
              <w:bidi w:val="0"/>
              <w:spacing w:line="360" w:lineRule="auto"/>
              <w:ind w:left="105" w:leftChars="50" w:right="105" w:rightChars="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rPr>
              <w:t xml:space="preserve">           </w:t>
            </w:r>
          </w:p>
          <w:p w14:paraId="72BFAE0B">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ascii="宋体" w:hAnsi="宋体" w:eastAsia="宋体" w:cs="宋体"/>
                <w:b w:val="0"/>
                <w:color w:val="auto"/>
                <w:sz w:val="24"/>
                <w:highlight w:val="none"/>
              </w:rPr>
            </w:pPr>
            <w:r>
              <w:rPr>
                <w:rFonts w:hint="eastAsia" w:ascii="宋体" w:hAnsi="宋体" w:eastAsia="宋体" w:cs="宋体"/>
                <w:bCs w:val="0"/>
                <w:color w:val="auto"/>
                <w:sz w:val="24"/>
                <w:highlight w:val="none"/>
              </w:rPr>
              <w:t>注：如供应商未参加采购人统一组织的现场考察或采购人统一召开的标前答疑会，视同放弃现场考察或标前答疑会，由此引起的一切责任由供应商自行承担。</w:t>
            </w:r>
          </w:p>
        </w:tc>
      </w:tr>
      <w:tr w14:paraId="7DE5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6" w:type="pct"/>
            <w:vAlign w:val="center"/>
          </w:tcPr>
          <w:p w14:paraId="18A3D438">
            <w:pPr>
              <w:pStyle w:val="29"/>
              <w:numPr>
                <w:ilvl w:val="0"/>
                <w:numId w:val="1"/>
              </w:numPr>
              <w:pBdr>
                <w:bottom w:val="none" w:color="auto" w:sz="0" w:space="0"/>
              </w:pBdr>
              <w:tabs>
                <w:tab w:val="clear" w:pos="4153"/>
                <w:tab w:val="clear" w:pos="8306"/>
              </w:tabs>
              <w:adjustRightInd/>
              <w:spacing w:line="360" w:lineRule="auto"/>
              <w:ind w:left="425" w:leftChars="0" w:hanging="425" w:firstLineChars="0"/>
              <w:rPr>
                <w:rFonts w:hint="default" w:ascii="宋体" w:hAnsi="宋体" w:eastAsia="宋体" w:cs="宋体"/>
                <w:bCs/>
                <w:color w:val="auto"/>
                <w:kern w:val="2"/>
                <w:highlight w:val="none"/>
                <w:lang w:val="en-US" w:eastAsia="zh-CN"/>
              </w:rPr>
            </w:pPr>
          </w:p>
        </w:tc>
        <w:tc>
          <w:tcPr>
            <w:tcW w:w="1156" w:type="pct"/>
            <w:vAlign w:val="center"/>
          </w:tcPr>
          <w:p w14:paraId="0198C381">
            <w:pPr>
              <w:pStyle w:val="28"/>
              <w:widowControl w:val="0"/>
              <w:spacing w:before="0" w:beforeAutospacing="0" w:after="0" w:afterAutospacing="0" w:line="360" w:lineRule="auto"/>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lang w:eastAsia="zh-CN"/>
              </w:rPr>
              <w:t>提出</w:t>
            </w:r>
            <w:r>
              <w:rPr>
                <w:rFonts w:hint="eastAsia" w:ascii="宋体" w:hAnsi="宋体" w:eastAsia="宋体" w:cs="宋体"/>
                <w:b w:val="0"/>
                <w:color w:val="auto"/>
                <w:sz w:val="24"/>
                <w:highlight w:val="none"/>
              </w:rPr>
              <w:t>询问截止时间</w:t>
            </w:r>
          </w:p>
        </w:tc>
        <w:tc>
          <w:tcPr>
            <w:tcW w:w="3287" w:type="pct"/>
            <w:vAlign w:val="center"/>
          </w:tcPr>
          <w:p w14:paraId="1C13C44E">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响应文件递交截止时间前</w:t>
            </w:r>
          </w:p>
        </w:tc>
      </w:tr>
      <w:tr w14:paraId="70EB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556" w:type="pct"/>
            <w:vAlign w:val="center"/>
          </w:tcPr>
          <w:p w14:paraId="5239BAF3">
            <w:pPr>
              <w:pStyle w:val="29"/>
              <w:numPr>
                <w:ilvl w:val="0"/>
                <w:numId w:val="1"/>
              </w:numPr>
              <w:pBdr>
                <w:bottom w:val="none" w:color="auto" w:sz="0" w:space="0"/>
              </w:pBdr>
              <w:tabs>
                <w:tab w:val="clear" w:pos="4153"/>
                <w:tab w:val="clear" w:pos="8306"/>
              </w:tabs>
              <w:adjustRightInd/>
              <w:spacing w:line="360" w:lineRule="auto"/>
              <w:ind w:left="425" w:leftChars="0" w:hanging="425" w:firstLineChars="0"/>
              <w:rPr>
                <w:rFonts w:hint="default" w:ascii="宋体" w:hAnsi="宋体" w:eastAsia="宋体" w:cs="宋体"/>
                <w:bCs/>
                <w:color w:val="auto"/>
                <w:kern w:val="2"/>
                <w:highlight w:val="none"/>
                <w:lang w:val="en-US" w:eastAsia="zh-CN"/>
              </w:rPr>
            </w:pPr>
          </w:p>
        </w:tc>
        <w:tc>
          <w:tcPr>
            <w:tcW w:w="1156" w:type="pct"/>
            <w:vAlign w:val="center"/>
          </w:tcPr>
          <w:p w14:paraId="28AFCCCD">
            <w:pPr>
              <w:pStyle w:val="28"/>
              <w:widowControl w:val="0"/>
              <w:spacing w:before="0" w:beforeAutospacing="0" w:after="0" w:afterAutospacing="0" w:line="360" w:lineRule="auto"/>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lang w:eastAsia="en-US"/>
              </w:rPr>
              <w:t>供应商质疑</w:t>
            </w:r>
            <w:r>
              <w:rPr>
                <w:rFonts w:hint="eastAsia" w:ascii="宋体" w:hAnsi="宋体" w:eastAsia="宋体" w:cs="宋体"/>
                <w:b w:val="0"/>
                <w:color w:val="auto"/>
                <w:sz w:val="24"/>
                <w:highlight w:val="none"/>
              </w:rPr>
              <w:t>的提出</w:t>
            </w:r>
          </w:p>
        </w:tc>
        <w:tc>
          <w:tcPr>
            <w:tcW w:w="3287" w:type="pct"/>
            <w:vAlign w:val="center"/>
          </w:tcPr>
          <w:p w14:paraId="295B0652">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1.响应截止时间2天前。</w:t>
            </w:r>
          </w:p>
          <w:p w14:paraId="64B9E970">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接受异议的电子邮箱：930495096@qq.com      </w:t>
            </w:r>
          </w:p>
          <w:p w14:paraId="14019ED5">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2.询问答复及澄清或修改：在</w:t>
            </w:r>
            <w:r>
              <w:rPr>
                <w:rFonts w:hint="eastAsia" w:ascii="宋体" w:hAnsi="宋体" w:eastAsia="宋体" w:cs="宋体"/>
                <w:b/>
                <w:bCs w:val="0"/>
                <w:color w:val="auto"/>
                <w:sz w:val="24"/>
                <w:highlight w:val="none"/>
                <w:lang w:eastAsia="zh-CN"/>
              </w:rPr>
              <w:t>《安徽省政府采购信息服务网》、《界首社会工作公众号》和《界首市人民政府》网站</w:t>
            </w:r>
            <w:r>
              <w:rPr>
                <w:rFonts w:hint="eastAsia" w:ascii="宋体" w:hAnsi="宋体" w:eastAsia="宋体" w:cs="宋体"/>
                <w:b w:val="0"/>
                <w:color w:val="auto"/>
                <w:sz w:val="24"/>
                <w:highlight w:val="none"/>
              </w:rPr>
              <w:t>发布，采购人不再另行通知。该答复内容及澄清或修改内容为采购文件的组成部分，对供应商具有同样约束力效力。（所有潜在供应商在响应文件提交截止时间前有义务自行查询，澄清、修改及答疑回复视为全部知晓，无需回复确认。）</w:t>
            </w:r>
          </w:p>
          <w:p w14:paraId="0DFECBD1">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lang w:eastAsia="zh-CN"/>
              </w:rPr>
              <w:t>3.</w:t>
            </w:r>
            <w:r>
              <w:rPr>
                <w:rFonts w:hint="eastAsia" w:ascii="宋体" w:hAnsi="宋体" w:eastAsia="宋体" w:cs="宋体"/>
                <w:b w:val="0"/>
                <w:color w:val="auto"/>
                <w:sz w:val="24"/>
                <w:highlight w:val="none"/>
              </w:rPr>
              <w:t>质疑函格式按照采购文件格式第七章 政府采购供应商询问函和质疑函范本。</w:t>
            </w:r>
          </w:p>
          <w:p w14:paraId="231D0D3E">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特别提示：提出质疑时须注明项目名称及项目编号。</w:t>
            </w:r>
          </w:p>
        </w:tc>
      </w:tr>
      <w:tr w14:paraId="0784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56" w:type="pct"/>
            <w:shd w:val="clear" w:color="auto" w:fill="auto"/>
            <w:vAlign w:val="center"/>
          </w:tcPr>
          <w:p w14:paraId="605229BA">
            <w:pPr>
              <w:pStyle w:val="29"/>
              <w:numPr>
                <w:ilvl w:val="0"/>
                <w:numId w:val="1"/>
              </w:numPr>
              <w:pBdr>
                <w:bottom w:val="none" w:color="auto" w:sz="0" w:space="0"/>
              </w:pBdr>
              <w:tabs>
                <w:tab w:val="clear" w:pos="4153"/>
                <w:tab w:val="clear" w:pos="8306"/>
              </w:tabs>
              <w:adjustRightInd/>
              <w:spacing w:line="360" w:lineRule="auto"/>
              <w:ind w:left="425" w:leftChars="0" w:hanging="425" w:firstLineChars="0"/>
              <w:rPr>
                <w:rFonts w:hint="eastAsia" w:ascii="宋体" w:hAnsi="宋体" w:eastAsia="宋体" w:cs="宋体"/>
                <w:bCs/>
                <w:color w:val="auto"/>
                <w:kern w:val="2"/>
                <w:highlight w:val="none"/>
                <w:lang w:eastAsia="zh-CN"/>
              </w:rPr>
            </w:pPr>
          </w:p>
        </w:tc>
        <w:tc>
          <w:tcPr>
            <w:tcW w:w="1156" w:type="pct"/>
            <w:shd w:val="clear" w:color="auto" w:fill="auto"/>
            <w:vAlign w:val="center"/>
          </w:tcPr>
          <w:p w14:paraId="6E4FA8BD">
            <w:pPr>
              <w:pStyle w:val="29"/>
              <w:pBdr>
                <w:bottom w:val="none" w:color="auto" w:sz="0" w:space="0"/>
              </w:pBdr>
              <w:tabs>
                <w:tab w:val="clear" w:pos="4153"/>
                <w:tab w:val="clear" w:pos="8306"/>
              </w:tabs>
              <w:adjustRightInd/>
              <w:spacing w:line="360" w:lineRule="auto"/>
              <w:rPr>
                <w:rFonts w:ascii="宋体" w:hAnsi="宋体" w:eastAsia="宋体" w:cs="宋体"/>
                <w:bCs/>
                <w:color w:val="auto"/>
                <w:kern w:val="2"/>
                <w:highlight w:val="none"/>
              </w:rPr>
            </w:pPr>
            <w:r>
              <w:rPr>
                <w:rFonts w:hint="eastAsia" w:ascii="宋体" w:hAnsi="宋体" w:eastAsia="宋体" w:cs="宋体"/>
                <w:bCs/>
                <w:color w:val="auto"/>
                <w:kern w:val="2"/>
                <w:highlight w:val="none"/>
              </w:rPr>
              <w:t>是否接受备选方案</w:t>
            </w:r>
          </w:p>
        </w:tc>
        <w:tc>
          <w:tcPr>
            <w:tcW w:w="3287" w:type="pct"/>
            <w:shd w:val="clear" w:color="auto" w:fill="auto"/>
            <w:vAlign w:val="center"/>
          </w:tcPr>
          <w:p w14:paraId="736561CA">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ascii="宋体" w:hAnsi="宋体" w:eastAsia="宋体" w:cs="宋体"/>
                <w:b w:val="0"/>
                <w:color w:val="auto"/>
                <w:kern w:val="2"/>
                <w:sz w:val="24"/>
                <w:szCs w:val="20"/>
                <w:highlight w:val="none"/>
              </w:rPr>
            </w:pPr>
            <w:r>
              <w:rPr>
                <w:rFonts w:hint="eastAsia" w:ascii="宋体" w:hAnsi="宋体" w:eastAsia="宋体" w:cs="宋体"/>
                <w:b w:val="0"/>
                <w:color w:val="auto"/>
                <w:sz w:val="24"/>
                <w:highlight w:val="none"/>
              </w:rPr>
              <w:t>☑否    □是，对备选方案的要求为</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kern w:val="2"/>
                <w:sz w:val="24"/>
                <w:highlight w:val="none"/>
                <w:u w:val="single"/>
              </w:rPr>
              <w:t xml:space="preserve"> </w:t>
            </w:r>
            <w:r>
              <w:rPr>
                <w:rFonts w:hint="eastAsia" w:ascii="宋体" w:hAnsi="宋体" w:eastAsia="宋体" w:cs="宋体"/>
                <w:b w:val="0"/>
                <w:color w:val="auto"/>
                <w:kern w:val="2"/>
                <w:sz w:val="24"/>
                <w:highlight w:val="none"/>
              </w:rPr>
              <w:t xml:space="preserve">           </w:t>
            </w:r>
          </w:p>
        </w:tc>
      </w:tr>
      <w:tr w14:paraId="2519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56" w:type="pct"/>
            <w:vAlign w:val="center"/>
          </w:tcPr>
          <w:p w14:paraId="0757B505">
            <w:pPr>
              <w:pStyle w:val="29"/>
              <w:numPr>
                <w:ilvl w:val="0"/>
                <w:numId w:val="1"/>
              </w:numPr>
              <w:pBdr>
                <w:bottom w:val="none" w:color="auto" w:sz="0" w:space="0"/>
              </w:pBdr>
              <w:tabs>
                <w:tab w:val="clear" w:pos="4153"/>
                <w:tab w:val="clear" w:pos="8306"/>
              </w:tabs>
              <w:adjustRightInd/>
              <w:spacing w:line="360" w:lineRule="auto"/>
              <w:ind w:left="425" w:leftChars="0" w:hanging="425" w:firstLineChars="0"/>
              <w:rPr>
                <w:rFonts w:ascii="宋体" w:hAnsi="宋体" w:eastAsia="宋体" w:cs="宋体"/>
                <w:bCs/>
                <w:color w:val="auto"/>
                <w:kern w:val="2"/>
                <w:highlight w:val="none"/>
              </w:rPr>
            </w:pPr>
          </w:p>
        </w:tc>
        <w:tc>
          <w:tcPr>
            <w:tcW w:w="1156" w:type="pct"/>
            <w:vAlign w:val="center"/>
          </w:tcPr>
          <w:p w14:paraId="3C82BADA">
            <w:pPr>
              <w:pStyle w:val="28"/>
              <w:widowControl w:val="0"/>
              <w:spacing w:before="0" w:beforeAutospacing="0" w:after="0" w:afterAutospacing="0" w:line="360" w:lineRule="auto"/>
              <w:jc w:val="center"/>
              <w:rPr>
                <w:rFonts w:ascii="宋体" w:hAnsi="宋体" w:eastAsia="宋体" w:cs="宋体"/>
                <w:b w:val="0"/>
                <w:color w:val="auto"/>
                <w:sz w:val="24"/>
                <w:highlight w:val="none"/>
              </w:rPr>
            </w:pPr>
            <w:r>
              <w:rPr>
                <w:rFonts w:hint="eastAsia" w:ascii="宋体" w:hAnsi="宋体" w:eastAsia="宋体" w:cs="宋体"/>
                <w:b w:val="0"/>
                <w:color w:val="auto"/>
                <w:sz w:val="24"/>
                <w:highlight w:val="none"/>
              </w:rPr>
              <w:t>磋商保证金</w:t>
            </w:r>
          </w:p>
        </w:tc>
        <w:tc>
          <w:tcPr>
            <w:tcW w:w="3287" w:type="pct"/>
            <w:vAlign w:val="center"/>
          </w:tcPr>
          <w:p w14:paraId="0A669386">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hint="default"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免收</w:t>
            </w:r>
          </w:p>
        </w:tc>
      </w:tr>
      <w:tr w14:paraId="536F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6" w:type="pct"/>
            <w:vAlign w:val="center"/>
          </w:tcPr>
          <w:p w14:paraId="555DF308">
            <w:pPr>
              <w:pStyle w:val="29"/>
              <w:numPr>
                <w:ilvl w:val="0"/>
                <w:numId w:val="1"/>
              </w:numPr>
              <w:pBdr>
                <w:bottom w:val="none" w:color="auto" w:sz="0" w:space="0"/>
              </w:pBdr>
              <w:tabs>
                <w:tab w:val="clear" w:pos="4153"/>
                <w:tab w:val="clear" w:pos="8306"/>
              </w:tabs>
              <w:adjustRightInd/>
              <w:spacing w:line="360" w:lineRule="auto"/>
              <w:ind w:left="425" w:leftChars="0" w:hanging="425" w:firstLineChars="0"/>
              <w:rPr>
                <w:rFonts w:ascii="宋体" w:hAnsi="宋体" w:eastAsia="宋体" w:cs="宋体"/>
                <w:bCs/>
                <w:color w:val="auto"/>
                <w:kern w:val="2"/>
                <w:highlight w:val="none"/>
              </w:rPr>
            </w:pPr>
          </w:p>
        </w:tc>
        <w:tc>
          <w:tcPr>
            <w:tcW w:w="1156" w:type="pct"/>
            <w:vAlign w:val="center"/>
          </w:tcPr>
          <w:p w14:paraId="71982361">
            <w:pPr>
              <w:pStyle w:val="28"/>
              <w:widowControl w:val="0"/>
              <w:spacing w:before="0" w:beforeAutospacing="0" w:after="0" w:afterAutospacing="0" w:line="360" w:lineRule="auto"/>
              <w:jc w:val="center"/>
              <w:rPr>
                <w:rFonts w:ascii="宋体" w:hAnsi="宋体" w:eastAsia="宋体" w:cs="宋体"/>
                <w:b w:val="0"/>
                <w:color w:val="auto"/>
                <w:sz w:val="24"/>
                <w:highlight w:val="none"/>
              </w:rPr>
            </w:pPr>
            <w:r>
              <w:rPr>
                <w:rFonts w:hint="eastAsia" w:ascii="宋体" w:hAnsi="宋体" w:eastAsia="宋体" w:cs="宋体"/>
                <w:b w:val="0"/>
                <w:color w:val="auto"/>
                <w:sz w:val="24"/>
                <w:highlight w:val="none"/>
              </w:rPr>
              <w:t>磋商有效期</w:t>
            </w:r>
          </w:p>
        </w:tc>
        <w:tc>
          <w:tcPr>
            <w:tcW w:w="3287" w:type="pct"/>
            <w:vAlign w:val="center"/>
          </w:tcPr>
          <w:p w14:paraId="4A2125A8">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u w:val="single"/>
                <w:lang w:val="en-US" w:eastAsia="zh-CN"/>
              </w:rPr>
              <w:t>90</w:t>
            </w:r>
            <w:r>
              <w:rPr>
                <w:rFonts w:hint="eastAsia" w:ascii="宋体" w:hAnsi="宋体" w:eastAsia="宋体" w:cs="宋体"/>
                <w:b w:val="0"/>
                <w:color w:val="auto"/>
                <w:sz w:val="24"/>
                <w:highlight w:val="none"/>
              </w:rPr>
              <w:t>日历日</w:t>
            </w:r>
          </w:p>
        </w:tc>
      </w:tr>
      <w:tr w14:paraId="3330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6" w:type="pct"/>
            <w:vAlign w:val="center"/>
          </w:tcPr>
          <w:p w14:paraId="40357A9F">
            <w:pPr>
              <w:pStyle w:val="29"/>
              <w:numPr>
                <w:ilvl w:val="0"/>
                <w:numId w:val="1"/>
              </w:numPr>
              <w:pBdr>
                <w:bottom w:val="none" w:color="auto" w:sz="0" w:space="0"/>
              </w:pBdr>
              <w:tabs>
                <w:tab w:val="clear" w:pos="4153"/>
                <w:tab w:val="clear" w:pos="8306"/>
              </w:tabs>
              <w:adjustRightInd/>
              <w:spacing w:line="360" w:lineRule="auto"/>
              <w:ind w:left="425" w:leftChars="0" w:hanging="425" w:firstLineChars="0"/>
              <w:rPr>
                <w:rFonts w:ascii="宋体" w:hAnsi="宋体" w:eastAsia="宋体" w:cs="宋体"/>
                <w:bCs/>
                <w:color w:val="auto"/>
                <w:kern w:val="2"/>
                <w:highlight w:val="none"/>
              </w:rPr>
            </w:pPr>
          </w:p>
        </w:tc>
        <w:tc>
          <w:tcPr>
            <w:tcW w:w="1156" w:type="pct"/>
            <w:vAlign w:val="center"/>
          </w:tcPr>
          <w:p w14:paraId="3350FA42">
            <w:pPr>
              <w:pStyle w:val="28"/>
              <w:widowControl w:val="0"/>
              <w:spacing w:before="0" w:beforeAutospacing="0" w:after="0" w:afterAutospacing="0" w:line="360" w:lineRule="auto"/>
              <w:jc w:val="center"/>
              <w:rPr>
                <w:rFonts w:ascii="宋体" w:hAnsi="宋体" w:eastAsia="宋体" w:cs="宋体"/>
                <w:b w:val="0"/>
                <w:color w:val="auto"/>
                <w:sz w:val="24"/>
                <w:highlight w:val="none"/>
              </w:rPr>
            </w:pPr>
            <w:r>
              <w:rPr>
                <w:rFonts w:hint="eastAsia" w:ascii="宋体" w:hAnsi="宋体" w:eastAsia="宋体" w:cs="宋体"/>
                <w:b w:val="0"/>
                <w:color w:val="auto"/>
                <w:sz w:val="24"/>
                <w:highlight w:val="none"/>
                <w:lang w:eastAsia="en-US"/>
              </w:rPr>
              <w:t>响应文件要求</w:t>
            </w:r>
          </w:p>
        </w:tc>
        <w:tc>
          <w:tcPr>
            <w:tcW w:w="3287" w:type="pct"/>
            <w:vAlign w:val="center"/>
          </w:tcPr>
          <w:p w14:paraId="32C7EC4C">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1.响应文件的纸质版文件份数：正本1份；副本2份，响应文件的正本与副本分开装订，胶装成册。依磋商文件要求加盖投标供应商公章，供应商应将响应文件密封装订，正副本分开密封或集中密封均可。</w:t>
            </w:r>
          </w:p>
          <w:p w14:paraId="245FE1FF">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2.响应文件电子版内容共1份</w:t>
            </w:r>
          </w:p>
          <w:p w14:paraId="11D9C936">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电子版响应文件（U盘）1份。</w:t>
            </w:r>
            <w:r>
              <w:rPr>
                <w:rFonts w:hint="eastAsia" w:ascii="宋体" w:hAnsi="宋体" w:eastAsia="宋体" w:cs="宋体"/>
                <w:b/>
                <w:bCs w:val="0"/>
                <w:color w:val="auto"/>
                <w:sz w:val="24"/>
                <w:highlight w:val="none"/>
              </w:rPr>
              <w:t>其电子版文件须为签字盖章后纸质版响应文件的完整扫描件。</w:t>
            </w:r>
          </w:p>
          <w:p w14:paraId="0CA73A63">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ascii="宋体" w:hAnsi="宋体" w:eastAsia="宋体" w:cs="宋体"/>
                <w:b w:val="0"/>
                <w:color w:val="auto"/>
                <w:sz w:val="24"/>
                <w:highlight w:val="none"/>
                <w:u w:val="single"/>
              </w:rPr>
            </w:pPr>
            <w:r>
              <w:rPr>
                <w:rFonts w:hint="eastAsia" w:ascii="宋体" w:hAnsi="宋体" w:eastAsia="宋体" w:cs="宋体"/>
                <w:b w:val="0"/>
                <w:color w:val="auto"/>
                <w:sz w:val="24"/>
                <w:highlight w:val="none"/>
              </w:rPr>
              <w:t>响应文件电子版密封方式：以上电子U盘单独放入一个密封袋中，加贴封条，并在封套封口处加盖供应商单位公章，在封套上标记“响应文件电子版”字样</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lang w:val="en-US" w:eastAsia="zh-CN"/>
              </w:rPr>
              <w:t>与响应文件一起密封均可</w:t>
            </w:r>
            <w:r>
              <w:rPr>
                <w:rFonts w:hint="eastAsia" w:ascii="宋体" w:hAnsi="宋体" w:eastAsia="宋体" w:cs="宋体"/>
                <w:b w:val="0"/>
                <w:color w:val="auto"/>
                <w:sz w:val="24"/>
                <w:highlight w:val="none"/>
              </w:rPr>
              <w:t>。</w:t>
            </w:r>
          </w:p>
        </w:tc>
      </w:tr>
      <w:tr w14:paraId="55D6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6" w:type="pct"/>
            <w:vAlign w:val="center"/>
          </w:tcPr>
          <w:p w14:paraId="1961DDDB">
            <w:pPr>
              <w:pStyle w:val="29"/>
              <w:numPr>
                <w:ilvl w:val="0"/>
                <w:numId w:val="1"/>
              </w:numPr>
              <w:pBdr>
                <w:bottom w:val="none" w:color="auto" w:sz="0" w:space="0"/>
              </w:pBdr>
              <w:tabs>
                <w:tab w:val="clear" w:pos="4153"/>
                <w:tab w:val="clear" w:pos="8306"/>
              </w:tabs>
              <w:adjustRightInd/>
              <w:spacing w:line="360" w:lineRule="auto"/>
              <w:ind w:left="425" w:leftChars="0" w:hanging="425" w:firstLineChars="0"/>
              <w:rPr>
                <w:rFonts w:hint="default" w:ascii="宋体" w:hAnsi="宋体" w:eastAsia="宋体" w:cs="宋体"/>
                <w:bCs/>
                <w:color w:val="auto"/>
                <w:kern w:val="2"/>
                <w:highlight w:val="none"/>
                <w:lang w:val="en-US" w:eastAsia="zh-CN"/>
              </w:rPr>
            </w:pPr>
          </w:p>
        </w:tc>
        <w:tc>
          <w:tcPr>
            <w:tcW w:w="1156" w:type="pct"/>
            <w:vAlign w:val="center"/>
          </w:tcPr>
          <w:p w14:paraId="4B56B561">
            <w:pPr>
              <w:autoSpaceDE w:val="0"/>
              <w:autoSpaceDN w:val="0"/>
              <w:spacing w:before="16" w:line="360" w:lineRule="auto"/>
              <w:ind w:left="107" w:leftChars="0"/>
              <w:jc w:val="center"/>
              <w:rPr>
                <w:rFonts w:hint="eastAsia" w:ascii="宋体" w:hAnsi="宋体" w:eastAsia="宋体" w:cs="宋体"/>
                <w:b w:val="0"/>
                <w:color w:val="auto"/>
                <w:sz w:val="24"/>
                <w:highlight w:val="none"/>
              </w:rPr>
            </w:pPr>
            <w:r>
              <w:rPr>
                <w:rFonts w:hint="eastAsia" w:asciiTheme="minorEastAsia" w:hAnsiTheme="minorEastAsia" w:eastAsiaTheme="minorEastAsia" w:cstheme="minorEastAsia"/>
                <w:kern w:val="0"/>
                <w:sz w:val="24"/>
                <w:szCs w:val="24"/>
                <w:highlight w:val="none"/>
                <w:lang w:val="zh-CN" w:eastAsia="en-US" w:bidi="zh-CN"/>
              </w:rPr>
              <w:t>封套上写明</w:t>
            </w:r>
          </w:p>
        </w:tc>
        <w:tc>
          <w:tcPr>
            <w:tcW w:w="3287" w:type="pct"/>
            <w:vAlign w:val="center"/>
          </w:tcPr>
          <w:p w14:paraId="7B5EC957">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采购人名称：</w:t>
            </w:r>
            <w:r>
              <w:rPr>
                <w:rFonts w:hint="eastAsia" w:asciiTheme="minorEastAsia" w:hAnsiTheme="minorEastAsia" w:eastAsiaTheme="minorEastAsia" w:cstheme="minorEastAsia"/>
                <w:sz w:val="24"/>
                <w:szCs w:val="24"/>
                <w:highlight w:val="none"/>
                <w:u w:val="single"/>
              </w:rPr>
              <w:t xml:space="preserve">                           </w:t>
            </w:r>
          </w:p>
          <w:p w14:paraId="05DC6AAB">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供应商名称：</w:t>
            </w:r>
            <w:r>
              <w:rPr>
                <w:rFonts w:hint="eastAsia" w:asciiTheme="minorEastAsia" w:hAnsiTheme="minorEastAsia" w:eastAsiaTheme="minorEastAsia" w:cstheme="minorEastAsia"/>
                <w:sz w:val="24"/>
                <w:szCs w:val="24"/>
                <w:highlight w:val="none"/>
                <w:u w:val="single"/>
              </w:rPr>
              <w:t xml:space="preserve">                           </w:t>
            </w:r>
          </w:p>
          <w:p w14:paraId="58171D7D">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(项目名称)响应文件</w:t>
            </w:r>
          </w:p>
          <w:p w14:paraId="4A595AA7">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rPr>
                <w:rFonts w:hint="eastAsia" w:ascii="宋体" w:hAnsi="宋体" w:eastAsia="宋体" w:cs="宋体"/>
                <w:b w:val="0"/>
                <w:color w:val="auto"/>
                <w:sz w:val="24"/>
                <w:highlight w:val="none"/>
                <w:u w:val="single"/>
              </w:rPr>
            </w:pPr>
            <w:r>
              <w:rPr>
                <w:rFonts w:hint="eastAsia" w:asciiTheme="minorEastAsia" w:hAnsiTheme="minorEastAsia" w:eastAsiaTheme="minorEastAsia" w:cstheme="minorEastAsia"/>
                <w:sz w:val="24"/>
                <w:szCs w:val="24"/>
                <w:highlight w:val="none"/>
              </w:rPr>
              <w:t>在</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时</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分前不得开启</w:t>
            </w:r>
          </w:p>
        </w:tc>
      </w:tr>
      <w:tr w14:paraId="5C8B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6" w:type="pct"/>
            <w:vAlign w:val="center"/>
          </w:tcPr>
          <w:p w14:paraId="386DD925">
            <w:pPr>
              <w:pStyle w:val="29"/>
              <w:numPr>
                <w:ilvl w:val="0"/>
                <w:numId w:val="1"/>
              </w:numPr>
              <w:pBdr>
                <w:bottom w:val="none" w:color="auto" w:sz="0" w:space="0"/>
              </w:pBdr>
              <w:tabs>
                <w:tab w:val="clear" w:pos="4153"/>
                <w:tab w:val="clear" w:pos="8306"/>
              </w:tabs>
              <w:adjustRightInd/>
              <w:spacing w:line="360" w:lineRule="auto"/>
              <w:ind w:left="425" w:leftChars="0" w:hanging="425" w:firstLineChars="0"/>
              <w:rPr>
                <w:rFonts w:hint="default" w:ascii="宋体" w:hAnsi="宋体" w:eastAsia="宋体" w:cs="宋体"/>
                <w:bCs/>
                <w:color w:val="auto"/>
                <w:kern w:val="2"/>
                <w:highlight w:val="none"/>
                <w:lang w:val="en-US" w:eastAsia="zh-CN"/>
              </w:rPr>
            </w:pPr>
          </w:p>
        </w:tc>
        <w:tc>
          <w:tcPr>
            <w:tcW w:w="1156" w:type="pct"/>
            <w:vAlign w:val="center"/>
          </w:tcPr>
          <w:p w14:paraId="631BCF1E">
            <w:pPr>
              <w:pStyle w:val="28"/>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磋商现场提交的</w:t>
            </w:r>
          </w:p>
          <w:p w14:paraId="6690E728">
            <w:pPr>
              <w:pStyle w:val="28"/>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其他材料要求</w:t>
            </w:r>
          </w:p>
        </w:tc>
        <w:tc>
          <w:tcPr>
            <w:tcW w:w="3287" w:type="pct"/>
            <w:vAlign w:val="center"/>
          </w:tcPr>
          <w:p w14:paraId="233ABB28">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ascii="宋体" w:hAnsi="宋体" w:eastAsia="宋体" w:cs="宋体"/>
                <w:b w:val="0"/>
                <w:color w:val="auto"/>
                <w:sz w:val="24"/>
                <w:highlight w:val="none"/>
                <w:u w:val="single"/>
              </w:rPr>
            </w:pPr>
            <w:r>
              <w:rPr>
                <w:rFonts w:hint="eastAsia" w:ascii="宋体" w:hAnsi="宋体" w:eastAsia="宋体" w:cs="宋体"/>
                <w:b w:val="0"/>
                <w:color w:val="auto"/>
                <w:sz w:val="24"/>
                <w:highlight w:val="none"/>
                <w:u w:val="none"/>
              </w:rPr>
              <w:t>开标时供应商法定代表人或其授权代理人应携带法定代表人身份证明书或法定代表人授权委托书（单独提交一份）及本人身份证原件签名报到参加磋商会。</w:t>
            </w:r>
          </w:p>
        </w:tc>
      </w:tr>
      <w:tr w14:paraId="7BC5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6" w:type="pct"/>
            <w:shd w:val="clear" w:color="auto" w:fill="auto"/>
            <w:vAlign w:val="center"/>
          </w:tcPr>
          <w:p w14:paraId="2985B699">
            <w:pPr>
              <w:pStyle w:val="29"/>
              <w:numPr>
                <w:ilvl w:val="0"/>
                <w:numId w:val="1"/>
              </w:numPr>
              <w:pBdr>
                <w:bottom w:val="none" w:color="auto" w:sz="0" w:space="0"/>
              </w:pBdr>
              <w:tabs>
                <w:tab w:val="clear" w:pos="4153"/>
                <w:tab w:val="clear" w:pos="8306"/>
              </w:tabs>
              <w:adjustRightInd/>
              <w:spacing w:line="360" w:lineRule="auto"/>
              <w:ind w:left="425" w:leftChars="0" w:hanging="425" w:firstLineChars="0"/>
              <w:rPr>
                <w:rFonts w:hint="default" w:ascii="宋体" w:hAnsi="宋体" w:eastAsia="宋体" w:cs="宋体"/>
                <w:bCs/>
                <w:color w:val="auto"/>
                <w:kern w:val="2"/>
                <w:highlight w:val="none"/>
                <w:lang w:val="en-US" w:eastAsia="zh-CN"/>
              </w:rPr>
            </w:pPr>
          </w:p>
        </w:tc>
        <w:tc>
          <w:tcPr>
            <w:tcW w:w="1156" w:type="pct"/>
            <w:shd w:val="clear" w:color="auto" w:fill="auto"/>
            <w:vAlign w:val="center"/>
          </w:tcPr>
          <w:p w14:paraId="4040A8FA">
            <w:pPr>
              <w:pStyle w:val="28"/>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响应文件提交截</w:t>
            </w:r>
          </w:p>
          <w:p w14:paraId="6671D9E7">
            <w:pPr>
              <w:pStyle w:val="28"/>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止时间</w:t>
            </w:r>
          </w:p>
        </w:tc>
        <w:tc>
          <w:tcPr>
            <w:tcW w:w="3287" w:type="pct"/>
            <w:shd w:val="clear" w:color="auto" w:fill="auto"/>
            <w:vAlign w:val="center"/>
          </w:tcPr>
          <w:p w14:paraId="0E396B5F">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ascii="宋体" w:hAnsi="宋体" w:eastAsia="宋体" w:cs="宋体"/>
                <w:b w:val="0"/>
                <w:color w:val="auto"/>
                <w:sz w:val="24"/>
                <w:highlight w:val="none"/>
                <w:u w:val="single"/>
                <w:lang w:eastAsia="en-US"/>
              </w:rPr>
            </w:pPr>
            <w:r>
              <w:rPr>
                <w:rFonts w:hint="eastAsia" w:ascii="宋体" w:hAnsi="宋体" w:eastAsia="宋体" w:cs="宋体"/>
                <w:b w:val="0"/>
                <w:color w:val="auto"/>
                <w:sz w:val="24"/>
                <w:highlight w:val="none"/>
                <w:u w:val="none"/>
              </w:rPr>
              <w:t>详见竞争性磋商公告</w:t>
            </w:r>
          </w:p>
        </w:tc>
      </w:tr>
      <w:tr w14:paraId="1BAF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6" w:type="pct"/>
            <w:vAlign w:val="center"/>
          </w:tcPr>
          <w:p w14:paraId="377491BD">
            <w:pPr>
              <w:pStyle w:val="29"/>
              <w:numPr>
                <w:ilvl w:val="0"/>
                <w:numId w:val="1"/>
              </w:numPr>
              <w:pBdr>
                <w:bottom w:val="none" w:color="auto" w:sz="0" w:space="0"/>
              </w:pBdr>
              <w:tabs>
                <w:tab w:val="clear" w:pos="4153"/>
                <w:tab w:val="clear" w:pos="8306"/>
              </w:tabs>
              <w:adjustRightInd/>
              <w:spacing w:line="360" w:lineRule="auto"/>
              <w:ind w:left="425" w:leftChars="0" w:hanging="425" w:firstLineChars="0"/>
              <w:rPr>
                <w:rFonts w:hint="default" w:ascii="宋体" w:hAnsi="宋体" w:eastAsia="宋体" w:cs="宋体"/>
                <w:bCs/>
                <w:color w:val="auto"/>
                <w:kern w:val="2"/>
                <w:highlight w:val="none"/>
                <w:lang w:val="en-US" w:eastAsia="zh-CN"/>
              </w:rPr>
            </w:pPr>
          </w:p>
        </w:tc>
        <w:tc>
          <w:tcPr>
            <w:tcW w:w="1156" w:type="pct"/>
            <w:vAlign w:val="center"/>
          </w:tcPr>
          <w:p w14:paraId="44AAF161">
            <w:pPr>
              <w:pStyle w:val="28"/>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评审方法</w:t>
            </w:r>
          </w:p>
        </w:tc>
        <w:tc>
          <w:tcPr>
            <w:tcW w:w="3287" w:type="pct"/>
            <w:vAlign w:val="center"/>
          </w:tcPr>
          <w:p w14:paraId="719D7D3F">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综合评分法</w:t>
            </w:r>
          </w:p>
        </w:tc>
      </w:tr>
      <w:tr w14:paraId="07DF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6" w:type="pct"/>
            <w:vMerge w:val="restart"/>
            <w:vAlign w:val="center"/>
          </w:tcPr>
          <w:p w14:paraId="3B29ADA6">
            <w:pPr>
              <w:pStyle w:val="29"/>
              <w:numPr>
                <w:ilvl w:val="0"/>
                <w:numId w:val="1"/>
              </w:numPr>
              <w:pBdr>
                <w:bottom w:val="none" w:color="auto" w:sz="0" w:space="0"/>
              </w:pBdr>
              <w:tabs>
                <w:tab w:val="clear" w:pos="4153"/>
                <w:tab w:val="clear" w:pos="8306"/>
              </w:tabs>
              <w:adjustRightInd/>
              <w:spacing w:line="360" w:lineRule="auto"/>
              <w:ind w:left="425" w:leftChars="0" w:hanging="425" w:firstLineChars="0"/>
              <w:rPr>
                <w:rFonts w:hint="default" w:ascii="宋体" w:hAnsi="宋体" w:eastAsia="宋体" w:cs="宋体"/>
                <w:bCs/>
                <w:color w:val="auto"/>
                <w:kern w:val="2"/>
                <w:highlight w:val="none"/>
                <w:lang w:val="en-US" w:eastAsia="zh-CN"/>
              </w:rPr>
            </w:pPr>
          </w:p>
        </w:tc>
        <w:tc>
          <w:tcPr>
            <w:tcW w:w="1156" w:type="pct"/>
            <w:vMerge w:val="restart"/>
            <w:vAlign w:val="center"/>
          </w:tcPr>
          <w:p w14:paraId="6E981D82">
            <w:pPr>
              <w:pStyle w:val="28"/>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确定成交候选供应商和成交供应商</w:t>
            </w:r>
          </w:p>
        </w:tc>
        <w:tc>
          <w:tcPr>
            <w:tcW w:w="3287" w:type="pct"/>
            <w:vAlign w:val="center"/>
          </w:tcPr>
          <w:p w14:paraId="27815ADF">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磋商小组推荐成交候选供应商的数量：3家</w:t>
            </w:r>
            <w:r>
              <w:rPr>
                <w:rFonts w:hint="eastAsia" w:ascii="宋体" w:hAnsi="宋体" w:eastAsia="宋体" w:cs="宋体"/>
                <w:b w:val="0"/>
                <w:color w:val="auto"/>
                <w:sz w:val="24"/>
                <w:highlight w:val="none"/>
                <w:lang w:eastAsia="zh-CN"/>
              </w:rPr>
              <w:t>及</w:t>
            </w:r>
            <w:r>
              <w:rPr>
                <w:rFonts w:hint="eastAsia" w:ascii="宋体" w:hAnsi="宋体" w:eastAsia="宋体" w:cs="宋体"/>
                <w:b w:val="0"/>
                <w:color w:val="auto"/>
                <w:sz w:val="24"/>
                <w:highlight w:val="none"/>
              </w:rPr>
              <w:t>以上</w:t>
            </w:r>
          </w:p>
          <w:p w14:paraId="1586DB84">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ascii="宋体" w:hAnsi="宋体" w:eastAsia="宋体" w:cs="宋体"/>
                <w:b w:val="0"/>
                <w:color w:val="auto"/>
                <w:sz w:val="24"/>
                <w:highlight w:val="none"/>
                <w:u w:val="single"/>
              </w:rPr>
            </w:pPr>
            <w:r>
              <w:rPr>
                <w:rFonts w:hint="eastAsia" w:ascii="宋体" w:hAnsi="宋体" w:eastAsia="宋体" w:cs="宋体"/>
                <w:b w:val="0"/>
                <w:color w:val="auto"/>
                <w:sz w:val="24"/>
                <w:highlight w:val="none"/>
              </w:rPr>
              <w:t>注：法律、法规另有规定的，从其规定</w:t>
            </w:r>
          </w:p>
        </w:tc>
      </w:tr>
      <w:tr w14:paraId="7EDB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6" w:type="pct"/>
            <w:vMerge w:val="continue"/>
            <w:vAlign w:val="center"/>
          </w:tcPr>
          <w:p w14:paraId="1180796F">
            <w:pPr>
              <w:pStyle w:val="29"/>
              <w:pBdr>
                <w:bottom w:val="none" w:color="auto" w:sz="0" w:space="0"/>
              </w:pBdr>
              <w:tabs>
                <w:tab w:val="clear" w:pos="4153"/>
                <w:tab w:val="clear" w:pos="8306"/>
              </w:tabs>
              <w:adjustRightInd/>
              <w:spacing w:line="360" w:lineRule="auto"/>
              <w:rPr>
                <w:rFonts w:ascii="宋体" w:hAnsi="宋体" w:eastAsia="宋体" w:cs="宋体"/>
                <w:bCs/>
                <w:color w:val="auto"/>
                <w:kern w:val="2"/>
                <w:highlight w:val="none"/>
              </w:rPr>
            </w:pPr>
          </w:p>
        </w:tc>
        <w:tc>
          <w:tcPr>
            <w:tcW w:w="1156" w:type="pct"/>
            <w:vMerge w:val="continue"/>
            <w:vAlign w:val="center"/>
          </w:tcPr>
          <w:p w14:paraId="72D6208A">
            <w:pPr>
              <w:pStyle w:val="28"/>
              <w:widowControl w:val="0"/>
              <w:spacing w:before="0" w:beforeAutospacing="0" w:after="0" w:afterAutospacing="0" w:line="360" w:lineRule="auto"/>
              <w:jc w:val="both"/>
              <w:rPr>
                <w:rFonts w:ascii="宋体" w:hAnsi="宋体" w:eastAsia="宋体" w:cs="宋体"/>
                <w:b w:val="0"/>
                <w:color w:val="auto"/>
                <w:sz w:val="24"/>
                <w:highlight w:val="none"/>
              </w:rPr>
            </w:pPr>
          </w:p>
        </w:tc>
        <w:tc>
          <w:tcPr>
            <w:tcW w:w="3287" w:type="pct"/>
            <w:vAlign w:val="center"/>
          </w:tcPr>
          <w:p w14:paraId="4D15B6DB">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确定成交供应商：</w:t>
            </w:r>
          </w:p>
          <w:p w14:paraId="30A4FEE4">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采购人委托磋商小组确定</w:t>
            </w:r>
            <w:r>
              <w:rPr>
                <w:rFonts w:hint="eastAsia" w:ascii="宋体" w:hAnsi="宋体" w:eastAsia="宋体" w:cs="宋体"/>
                <w:b w:val="0"/>
                <w:color w:val="auto"/>
                <w:sz w:val="24"/>
                <w:highlight w:val="none"/>
                <w:lang w:val="en-US" w:eastAsia="zh-CN"/>
              </w:rPr>
              <w:t xml:space="preserve">      </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采购人确定</w:t>
            </w:r>
          </w:p>
        </w:tc>
      </w:tr>
      <w:tr w14:paraId="6597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6" w:type="pct"/>
            <w:vAlign w:val="center"/>
          </w:tcPr>
          <w:p w14:paraId="392E9B62">
            <w:pPr>
              <w:pStyle w:val="29"/>
              <w:numPr>
                <w:ilvl w:val="0"/>
                <w:numId w:val="1"/>
              </w:numPr>
              <w:pBdr>
                <w:bottom w:val="none" w:color="auto" w:sz="0" w:space="0"/>
              </w:pBdr>
              <w:tabs>
                <w:tab w:val="clear" w:pos="4153"/>
                <w:tab w:val="clear" w:pos="8306"/>
              </w:tabs>
              <w:adjustRightInd/>
              <w:spacing w:line="360" w:lineRule="auto"/>
              <w:ind w:left="425" w:leftChars="0" w:hanging="425" w:firstLineChars="0"/>
              <w:rPr>
                <w:rFonts w:hint="default" w:ascii="宋体" w:hAnsi="宋体" w:eastAsia="宋体" w:cs="宋体"/>
                <w:bCs/>
                <w:color w:val="auto"/>
                <w:kern w:val="2"/>
                <w:highlight w:val="none"/>
                <w:lang w:val="en-US" w:eastAsia="zh-CN"/>
              </w:rPr>
            </w:pPr>
          </w:p>
        </w:tc>
        <w:tc>
          <w:tcPr>
            <w:tcW w:w="1156" w:type="pct"/>
            <w:vAlign w:val="center"/>
          </w:tcPr>
          <w:p w14:paraId="5C3ED760">
            <w:pPr>
              <w:pStyle w:val="28"/>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成交通知书发出的形式</w:t>
            </w:r>
          </w:p>
        </w:tc>
        <w:tc>
          <w:tcPr>
            <w:tcW w:w="3287" w:type="pct"/>
            <w:vAlign w:val="center"/>
          </w:tcPr>
          <w:p w14:paraId="556EDF84">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eastAsia="zh-CN"/>
              </w:rPr>
              <w:t>书面形式</w:t>
            </w:r>
          </w:p>
        </w:tc>
      </w:tr>
      <w:tr w14:paraId="020F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6" w:type="pct"/>
            <w:vAlign w:val="center"/>
          </w:tcPr>
          <w:p w14:paraId="4B3A9055">
            <w:pPr>
              <w:pStyle w:val="29"/>
              <w:numPr>
                <w:ilvl w:val="0"/>
                <w:numId w:val="1"/>
              </w:numPr>
              <w:pBdr>
                <w:bottom w:val="none" w:color="auto" w:sz="0" w:space="0"/>
              </w:pBdr>
              <w:tabs>
                <w:tab w:val="clear" w:pos="4153"/>
                <w:tab w:val="clear" w:pos="8306"/>
              </w:tabs>
              <w:adjustRightInd/>
              <w:spacing w:line="360" w:lineRule="auto"/>
              <w:ind w:left="425" w:leftChars="0" w:hanging="425" w:firstLineChars="0"/>
              <w:rPr>
                <w:rFonts w:hint="default" w:ascii="宋体" w:hAnsi="宋体" w:eastAsia="宋体" w:cs="宋体"/>
                <w:bCs/>
                <w:color w:val="auto"/>
                <w:kern w:val="2"/>
                <w:highlight w:val="none"/>
                <w:lang w:val="en-US" w:eastAsia="zh-CN"/>
              </w:rPr>
            </w:pPr>
          </w:p>
        </w:tc>
        <w:tc>
          <w:tcPr>
            <w:tcW w:w="1156" w:type="pct"/>
            <w:vAlign w:val="center"/>
          </w:tcPr>
          <w:p w14:paraId="1A3706EE">
            <w:pPr>
              <w:pStyle w:val="28"/>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告知磋商结果的形式</w:t>
            </w:r>
          </w:p>
        </w:tc>
        <w:tc>
          <w:tcPr>
            <w:tcW w:w="3287" w:type="pct"/>
            <w:vAlign w:val="center"/>
          </w:tcPr>
          <w:p w14:paraId="177E2194">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在</w:t>
            </w:r>
            <w:r>
              <w:rPr>
                <w:rFonts w:hint="eastAsia" w:ascii="宋体" w:hAnsi="宋体" w:eastAsia="宋体" w:cs="宋体"/>
                <w:b/>
                <w:bCs w:val="0"/>
                <w:color w:val="auto"/>
                <w:sz w:val="24"/>
                <w:highlight w:val="none"/>
                <w:lang w:eastAsia="zh-CN"/>
              </w:rPr>
              <w:t>《安徽省政府采购信息服务网》、《界首社会工作公众号》和《界首市人民政府》网站</w:t>
            </w:r>
            <w:r>
              <w:rPr>
                <w:rFonts w:hint="eastAsia" w:ascii="宋体" w:hAnsi="宋体" w:eastAsia="宋体" w:cs="宋体"/>
                <w:b w:val="0"/>
                <w:color w:val="auto"/>
                <w:sz w:val="24"/>
                <w:highlight w:val="none"/>
              </w:rPr>
              <w:t>发布</w:t>
            </w:r>
          </w:p>
        </w:tc>
      </w:tr>
      <w:tr w14:paraId="156A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6" w:type="pct"/>
            <w:vAlign w:val="center"/>
          </w:tcPr>
          <w:p w14:paraId="2B3008EF">
            <w:pPr>
              <w:pStyle w:val="29"/>
              <w:numPr>
                <w:ilvl w:val="0"/>
                <w:numId w:val="1"/>
              </w:numPr>
              <w:pBdr>
                <w:bottom w:val="none" w:color="auto" w:sz="0" w:space="0"/>
              </w:pBdr>
              <w:tabs>
                <w:tab w:val="clear" w:pos="4153"/>
                <w:tab w:val="clear" w:pos="8306"/>
              </w:tabs>
              <w:adjustRightInd/>
              <w:spacing w:line="360" w:lineRule="auto"/>
              <w:ind w:left="425" w:leftChars="0" w:hanging="425" w:firstLineChars="0"/>
              <w:rPr>
                <w:rFonts w:hint="default" w:ascii="宋体" w:hAnsi="宋体" w:eastAsia="宋体" w:cs="宋体"/>
                <w:bCs/>
                <w:color w:val="auto"/>
                <w:kern w:val="2"/>
                <w:highlight w:val="none"/>
                <w:lang w:val="en-US" w:eastAsia="zh-CN"/>
              </w:rPr>
            </w:pPr>
          </w:p>
        </w:tc>
        <w:tc>
          <w:tcPr>
            <w:tcW w:w="1156" w:type="pct"/>
            <w:vAlign w:val="center"/>
          </w:tcPr>
          <w:p w14:paraId="3192B892">
            <w:pPr>
              <w:pStyle w:val="28"/>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3287" w:type="pct"/>
          </w:tcPr>
          <w:p w14:paraId="26147675">
            <w:pPr>
              <w:keepNext w:val="0"/>
              <w:keepLines w:val="0"/>
              <w:pageBreakBefore w:val="0"/>
              <w:wordWrap/>
              <w:overflowPunct/>
              <w:topLinePunct w:val="0"/>
              <w:bidi w:val="0"/>
              <w:spacing w:line="520" w:lineRule="exact"/>
              <w:ind w:left="105" w:leftChars="50" w:right="105" w:rightChars="50"/>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（1）金额：遵照《阜阳市财政局 阜阳市公共资源交易监督管理局转发安徽省财政厅关于进一步优化政府采购营商环境的通知》（阜财购〔2022〕207号）执行</w:t>
            </w:r>
          </w:p>
          <w:p w14:paraId="1D8E6474">
            <w:pPr>
              <w:keepNext w:val="0"/>
              <w:keepLines w:val="0"/>
              <w:pageBreakBefore w:val="0"/>
              <w:wordWrap/>
              <w:overflowPunct/>
              <w:topLinePunct w:val="0"/>
              <w:bidi w:val="0"/>
              <w:spacing w:line="360" w:lineRule="auto"/>
              <w:ind w:left="105" w:leftChars="50" w:right="105" w:rightChars="50"/>
              <w:jc w:val="left"/>
              <w:rPr>
                <w:rFonts w:hint="eastAsia" w:ascii="宋体" w:hAnsi="宋体" w:eastAsia="宋体" w:cs="宋体"/>
                <w:b w:val="0"/>
                <w:bCs/>
                <w:color w:val="auto"/>
                <w:kern w:val="0"/>
                <w:sz w:val="24"/>
                <w:szCs w:val="28"/>
                <w:highlight w:val="none"/>
                <w:lang w:val="en-US" w:eastAsia="zh-CN" w:bidi="ar-SA"/>
              </w:rPr>
            </w:pPr>
          </w:p>
          <w:p w14:paraId="25FA7446">
            <w:pPr>
              <w:keepNext w:val="0"/>
              <w:keepLines w:val="0"/>
              <w:pageBreakBefore w:val="0"/>
              <w:wordWrap/>
              <w:overflowPunct/>
              <w:topLinePunct w:val="0"/>
              <w:bidi w:val="0"/>
              <w:spacing w:line="360" w:lineRule="auto"/>
              <w:ind w:left="105" w:leftChars="50" w:right="105" w:rightChars="50"/>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☑免收</w:t>
            </w:r>
          </w:p>
          <w:p w14:paraId="20B19288">
            <w:pPr>
              <w:keepNext w:val="0"/>
              <w:keepLines w:val="0"/>
              <w:pageBreakBefore w:val="0"/>
              <w:wordWrap/>
              <w:overflowPunct/>
              <w:topLinePunct w:val="0"/>
              <w:bidi w:val="0"/>
              <w:spacing w:line="360" w:lineRule="auto"/>
              <w:ind w:left="105" w:leftChars="50" w:right="105" w:rightChars="50"/>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□合同价的  /  %</w:t>
            </w:r>
          </w:p>
          <w:p w14:paraId="69636EC3">
            <w:pPr>
              <w:keepNext w:val="0"/>
              <w:keepLines w:val="0"/>
              <w:pageBreakBefore w:val="0"/>
              <w:wordWrap/>
              <w:overflowPunct/>
              <w:topLinePunct w:val="0"/>
              <w:bidi w:val="0"/>
              <w:spacing w:line="360" w:lineRule="auto"/>
              <w:ind w:left="105" w:leftChars="50" w:right="105" w:rightChars="50"/>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□定额收取：人民币    /    元</w:t>
            </w:r>
          </w:p>
          <w:p w14:paraId="7B811D74">
            <w:pPr>
              <w:keepNext w:val="0"/>
              <w:keepLines w:val="0"/>
              <w:pageBreakBefore w:val="0"/>
              <w:wordWrap/>
              <w:overflowPunct/>
              <w:topLinePunct w:val="0"/>
              <w:bidi w:val="0"/>
              <w:spacing w:line="360" w:lineRule="auto"/>
              <w:ind w:left="105" w:leftChars="50" w:right="105" w:rightChars="50"/>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（2）支付方式：</w:t>
            </w:r>
          </w:p>
          <w:p w14:paraId="01D8B524">
            <w:pPr>
              <w:keepNext w:val="0"/>
              <w:keepLines w:val="0"/>
              <w:pageBreakBefore w:val="0"/>
              <w:wordWrap/>
              <w:overflowPunct/>
              <w:topLinePunct w:val="0"/>
              <w:bidi w:val="0"/>
              <w:spacing w:line="360" w:lineRule="auto"/>
              <w:ind w:left="105" w:leftChars="50" w:right="105" w:rightChars="50"/>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 xml:space="preserve">其他要求：             </w:t>
            </w:r>
          </w:p>
          <w:p w14:paraId="26464F42">
            <w:pPr>
              <w:keepNext w:val="0"/>
              <w:keepLines w:val="0"/>
              <w:pageBreakBefore w:val="0"/>
              <w:wordWrap/>
              <w:overflowPunct/>
              <w:topLinePunct w:val="0"/>
              <w:bidi w:val="0"/>
              <w:spacing w:line="360" w:lineRule="auto"/>
              <w:ind w:left="105" w:leftChars="50" w:right="105" w:rightChars="50"/>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（3）收取单位：/</w:t>
            </w:r>
          </w:p>
          <w:p w14:paraId="77B0B35E">
            <w:pPr>
              <w:keepNext w:val="0"/>
              <w:keepLines w:val="0"/>
              <w:pageBreakBefore w:val="0"/>
              <w:wordWrap/>
              <w:overflowPunct/>
              <w:topLinePunct w:val="0"/>
              <w:bidi w:val="0"/>
              <w:spacing w:line="360" w:lineRule="auto"/>
              <w:ind w:left="105" w:leftChars="50" w:right="105" w:rightChars="50"/>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 xml:space="preserve">（4）缴纳时间：/ </w:t>
            </w:r>
          </w:p>
          <w:p w14:paraId="5F4CD4A9">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hint="eastAsia" w:ascii="宋体" w:hAnsi="宋体" w:eastAsia="宋体" w:cs="宋体"/>
                <w:color w:val="auto"/>
                <w:sz w:val="24"/>
                <w:highlight w:val="none"/>
                <w:lang w:eastAsia="zh-CN"/>
              </w:rPr>
            </w:pPr>
            <w:r>
              <w:rPr>
                <w:rFonts w:hint="eastAsia" w:ascii="宋体" w:hAnsi="宋体" w:eastAsia="宋体" w:cs="宋体"/>
                <w:b w:val="0"/>
                <w:bCs/>
                <w:color w:val="auto"/>
                <w:kern w:val="0"/>
                <w:sz w:val="24"/>
                <w:szCs w:val="28"/>
                <w:highlight w:val="none"/>
                <w:lang w:val="en-US" w:eastAsia="zh-CN" w:bidi="ar-SA"/>
              </w:rPr>
              <w:t>（5）退还时间：/</w:t>
            </w:r>
          </w:p>
        </w:tc>
      </w:tr>
      <w:tr w14:paraId="3395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6" w:type="pct"/>
            <w:vAlign w:val="center"/>
          </w:tcPr>
          <w:p w14:paraId="7F91178A">
            <w:pPr>
              <w:pStyle w:val="29"/>
              <w:numPr>
                <w:ilvl w:val="0"/>
                <w:numId w:val="1"/>
              </w:numPr>
              <w:pBdr>
                <w:bottom w:val="none" w:color="auto" w:sz="0" w:space="0"/>
              </w:pBdr>
              <w:tabs>
                <w:tab w:val="clear" w:pos="4153"/>
                <w:tab w:val="clear" w:pos="8306"/>
              </w:tabs>
              <w:adjustRightInd/>
              <w:spacing w:line="360" w:lineRule="auto"/>
              <w:ind w:left="425" w:leftChars="0" w:hanging="425" w:firstLineChars="0"/>
              <w:rPr>
                <w:rFonts w:hint="default" w:ascii="宋体" w:hAnsi="宋体" w:eastAsia="宋体" w:cs="宋体"/>
                <w:bCs/>
                <w:color w:val="auto"/>
                <w:kern w:val="2"/>
                <w:highlight w:val="none"/>
                <w:lang w:val="en-US" w:eastAsia="zh-CN"/>
              </w:rPr>
            </w:pPr>
          </w:p>
        </w:tc>
        <w:tc>
          <w:tcPr>
            <w:tcW w:w="1156" w:type="pct"/>
            <w:vAlign w:val="center"/>
          </w:tcPr>
          <w:p w14:paraId="005E7ABF">
            <w:pPr>
              <w:pStyle w:val="28"/>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成交服务费</w:t>
            </w:r>
          </w:p>
        </w:tc>
        <w:tc>
          <w:tcPr>
            <w:tcW w:w="3287" w:type="pct"/>
            <w:vAlign w:val="center"/>
          </w:tcPr>
          <w:p w14:paraId="6237F1F4">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本项目的下列费用由成交人支付。</w:t>
            </w:r>
          </w:p>
          <w:p w14:paraId="25197805">
            <w:pPr>
              <w:pStyle w:val="28"/>
              <w:keepNext w:val="0"/>
              <w:keepLines w:val="0"/>
              <w:pageBreakBefore w:val="0"/>
              <w:widowControl w:val="0"/>
              <w:kinsoku/>
              <w:wordWrap/>
              <w:overflowPunct/>
              <w:topLinePunct w:val="0"/>
              <w:bidi w:val="0"/>
              <w:spacing w:before="0" w:beforeAutospacing="0" w:after="0" w:afterAutospacing="0" w:line="360" w:lineRule="auto"/>
              <w:ind w:left="105" w:leftChars="50" w:right="105" w:rightChars="50"/>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成交服务费：</w:t>
            </w:r>
            <w:r>
              <w:rPr>
                <w:rFonts w:hint="eastAsia" w:ascii="Times New Roman" w:hAnsi="Times New Roman" w:eastAsia="宋体" w:cs="Times New Roman"/>
                <w:b w:val="0"/>
                <w:color w:val="auto"/>
                <w:sz w:val="24"/>
                <w:highlight w:val="none"/>
                <w:u w:val="single"/>
                <w:lang w:val="en-US" w:eastAsia="zh-CN"/>
              </w:rPr>
              <w:t>2700</w:t>
            </w:r>
            <w:r>
              <w:rPr>
                <w:rFonts w:hint="default" w:ascii="Times New Roman" w:hAnsi="Times New Roman" w:cs="Times New Roman" w:eastAsiaTheme="minorEastAsia"/>
                <w:b w:val="0"/>
                <w:color w:val="auto"/>
                <w:sz w:val="24"/>
                <w:highlight w:val="none"/>
              </w:rPr>
              <w:t>元</w:t>
            </w:r>
            <w:r>
              <w:rPr>
                <w:rFonts w:hint="eastAsia" w:ascii="Times New Roman" w:hAnsi="Times New Roman" w:cs="Times New Roman" w:eastAsiaTheme="minorEastAsia"/>
                <w:b w:val="0"/>
                <w:color w:val="auto"/>
                <w:sz w:val="24"/>
                <w:highlight w:val="none"/>
                <w:lang w:val="en-US" w:eastAsia="zh-CN"/>
              </w:rPr>
              <w:t>/年</w:t>
            </w:r>
            <w:r>
              <w:rPr>
                <w:rFonts w:hint="default" w:ascii="Times New Roman" w:hAnsi="Times New Roman" w:cs="Times New Roman" w:eastAsiaTheme="minorEastAsia"/>
                <w:b w:val="0"/>
                <w:color w:val="auto"/>
                <w:sz w:val="24"/>
                <w:highlight w:val="none"/>
              </w:rPr>
              <w:t>（大写：</w:t>
            </w:r>
            <w:r>
              <w:rPr>
                <w:rFonts w:hint="eastAsia" w:ascii="Times New Roman" w:hAnsi="Times New Roman" w:cs="Times New Roman" w:eastAsiaTheme="minorEastAsia"/>
                <w:b w:val="0"/>
                <w:color w:val="auto"/>
                <w:sz w:val="24"/>
                <w:highlight w:val="none"/>
                <w:lang w:val="en-US" w:eastAsia="zh-CN"/>
              </w:rPr>
              <w:t>贰仟柒佰元每年</w:t>
            </w:r>
            <w:r>
              <w:rPr>
                <w:rFonts w:hint="default" w:ascii="Times New Roman" w:hAnsi="Times New Roman" w:cs="Times New Roman" w:eastAsiaTheme="minorEastAsia"/>
                <w:b w:val="0"/>
                <w:color w:val="auto"/>
                <w:sz w:val="24"/>
                <w:highlight w:val="none"/>
              </w:rPr>
              <w:t>）</w:t>
            </w:r>
          </w:p>
          <w:p w14:paraId="44BAFCD1">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ascii="宋体" w:hAnsi="宋体" w:eastAsia="宋体" w:cs="宋体"/>
                <w:b w:val="0"/>
                <w:color w:val="auto"/>
                <w:sz w:val="24"/>
                <w:highlight w:val="none"/>
              </w:rPr>
            </w:pPr>
            <w:r>
              <w:rPr>
                <w:rFonts w:hint="default" w:ascii="Times New Roman" w:hAnsi="Times New Roman" w:cs="Times New Roman" w:eastAsiaTheme="minorEastAsia"/>
                <w:b w:val="0"/>
                <w:color w:val="auto"/>
                <w:sz w:val="24"/>
                <w:highlight w:val="none"/>
              </w:rPr>
              <w:t>以上费用，不单独列出，供应商自行考虑，含在</w:t>
            </w:r>
            <w:r>
              <w:rPr>
                <w:rFonts w:hint="default" w:ascii="Times New Roman" w:hAnsi="Times New Roman" w:cs="Times New Roman" w:eastAsiaTheme="minorEastAsia"/>
                <w:b w:val="0"/>
                <w:color w:val="auto"/>
                <w:sz w:val="24"/>
                <w:highlight w:val="none"/>
                <w:lang w:eastAsia="zh-CN"/>
              </w:rPr>
              <w:t>响应</w:t>
            </w:r>
            <w:r>
              <w:rPr>
                <w:rFonts w:hint="default" w:ascii="Times New Roman" w:hAnsi="Times New Roman" w:cs="Times New Roman" w:eastAsiaTheme="minorEastAsia"/>
                <w:b w:val="0"/>
                <w:color w:val="auto"/>
                <w:sz w:val="24"/>
                <w:highlight w:val="none"/>
              </w:rPr>
              <w:t>报价中，在领取</w:t>
            </w:r>
            <w:r>
              <w:rPr>
                <w:rFonts w:hint="default" w:ascii="Times New Roman" w:hAnsi="Times New Roman" w:cs="Times New Roman" w:eastAsiaTheme="minorEastAsia"/>
                <w:b w:val="0"/>
                <w:color w:val="auto"/>
                <w:sz w:val="24"/>
                <w:highlight w:val="none"/>
                <w:lang w:eastAsia="zh-CN"/>
              </w:rPr>
              <w:t>成交</w:t>
            </w:r>
            <w:r>
              <w:rPr>
                <w:rFonts w:hint="default" w:ascii="Times New Roman" w:hAnsi="Times New Roman" w:cs="Times New Roman" w:eastAsiaTheme="minorEastAsia"/>
                <w:b w:val="0"/>
                <w:color w:val="auto"/>
                <w:sz w:val="24"/>
                <w:highlight w:val="none"/>
              </w:rPr>
              <w:t>通知书时</w:t>
            </w:r>
            <w:r>
              <w:rPr>
                <w:rFonts w:hint="eastAsia" w:ascii="Times New Roman" w:hAnsi="Times New Roman" w:cs="Times New Roman" w:eastAsiaTheme="minorEastAsia"/>
                <w:b w:val="0"/>
                <w:color w:val="auto"/>
                <w:sz w:val="24"/>
                <w:highlight w:val="none"/>
                <w:lang w:val="en-US" w:eastAsia="zh-CN"/>
              </w:rPr>
              <w:t>现金或转账一次性</w:t>
            </w:r>
            <w:r>
              <w:rPr>
                <w:rFonts w:hint="default" w:ascii="Times New Roman" w:hAnsi="Times New Roman" w:cs="Times New Roman" w:eastAsiaTheme="minorEastAsia"/>
                <w:b w:val="0"/>
                <w:color w:val="auto"/>
                <w:sz w:val="24"/>
                <w:highlight w:val="none"/>
              </w:rPr>
              <w:t xml:space="preserve">支付。 </w:t>
            </w:r>
            <w:r>
              <w:rPr>
                <w:rFonts w:hint="eastAsia" w:ascii="宋体" w:hAnsi="宋体" w:eastAsia="宋体" w:cs="宋体"/>
                <w:b w:val="0"/>
                <w:color w:val="auto"/>
                <w:sz w:val="24"/>
                <w:highlight w:val="none"/>
              </w:rPr>
              <w:t xml:space="preserve"> </w:t>
            </w:r>
          </w:p>
        </w:tc>
      </w:tr>
      <w:tr w14:paraId="2B1B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6" w:type="pct"/>
            <w:vAlign w:val="center"/>
          </w:tcPr>
          <w:p w14:paraId="6B8413B8">
            <w:pPr>
              <w:pStyle w:val="29"/>
              <w:numPr>
                <w:ilvl w:val="0"/>
                <w:numId w:val="1"/>
              </w:numPr>
              <w:pBdr>
                <w:bottom w:val="none" w:color="auto" w:sz="0" w:space="0"/>
              </w:pBdr>
              <w:tabs>
                <w:tab w:val="clear" w:pos="4153"/>
                <w:tab w:val="clear" w:pos="8306"/>
              </w:tabs>
              <w:adjustRightInd/>
              <w:spacing w:line="360" w:lineRule="auto"/>
              <w:ind w:left="425" w:leftChars="0" w:hanging="425" w:firstLineChars="0"/>
              <w:rPr>
                <w:rFonts w:hint="default" w:ascii="宋体" w:hAnsi="宋体" w:eastAsia="宋体" w:cs="宋体"/>
                <w:bCs/>
                <w:color w:val="auto"/>
                <w:kern w:val="2"/>
                <w:highlight w:val="none"/>
                <w:lang w:val="en-US" w:eastAsia="zh-CN"/>
              </w:rPr>
            </w:pPr>
          </w:p>
        </w:tc>
        <w:tc>
          <w:tcPr>
            <w:tcW w:w="1156" w:type="pct"/>
            <w:vAlign w:val="center"/>
          </w:tcPr>
          <w:p w14:paraId="04F13310">
            <w:pPr>
              <w:pStyle w:val="28"/>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关于联合体参加</w:t>
            </w:r>
          </w:p>
          <w:p w14:paraId="3FEDF9CB">
            <w:pPr>
              <w:pStyle w:val="28"/>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磋商的相关约定</w:t>
            </w:r>
          </w:p>
        </w:tc>
        <w:tc>
          <w:tcPr>
            <w:tcW w:w="3287" w:type="pct"/>
            <w:vAlign w:val="center"/>
          </w:tcPr>
          <w:p w14:paraId="415604E6">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（1）联合体投标的，招标文件获取手续由联合体中任一成员单位办理均可。</w:t>
            </w:r>
          </w:p>
          <w:p w14:paraId="44588BBC">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（2）联合体投标的须提供联合协议（见投标文件格式），相关证明材料由</w:t>
            </w:r>
            <w:r>
              <w:rPr>
                <w:rFonts w:hint="eastAsia" w:ascii="宋体" w:hAnsi="宋体" w:eastAsia="宋体" w:cs="宋体"/>
                <w:b w:val="0"/>
                <w:color w:val="auto"/>
                <w:sz w:val="24"/>
                <w:highlight w:val="none"/>
                <w:lang w:eastAsia="zh-CN"/>
              </w:rPr>
              <w:t>供应商</w:t>
            </w:r>
            <w:r>
              <w:rPr>
                <w:rFonts w:hint="eastAsia" w:ascii="宋体" w:hAnsi="宋体" w:eastAsia="宋体" w:cs="宋体"/>
                <w:b w:val="0"/>
                <w:color w:val="auto"/>
                <w:sz w:val="24"/>
                <w:highlight w:val="none"/>
              </w:rPr>
              <w:t>根据联合协议分工情况及招标文件要求提供。</w:t>
            </w:r>
          </w:p>
          <w:p w14:paraId="588DB179">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ascii="宋体" w:hAnsi="宋体" w:eastAsia="宋体" w:cs="宋体"/>
                <w:b w:val="0"/>
                <w:color w:val="auto"/>
                <w:sz w:val="24"/>
                <w:highlight w:val="none"/>
              </w:rPr>
            </w:pPr>
            <w:r>
              <w:rPr>
                <w:rFonts w:hint="eastAsia" w:ascii="宋体" w:hAnsi="宋体" w:eastAsia="宋体" w:cs="宋体"/>
                <w:b/>
                <w:bCs w:val="0"/>
                <w:color w:val="auto"/>
                <w:sz w:val="24"/>
                <w:highlight w:val="none"/>
              </w:rPr>
              <w:t>（3）联合体各成员单位均须提供营业执照等证明文件</w:t>
            </w:r>
            <w:r>
              <w:rPr>
                <w:rFonts w:hint="eastAsia" w:ascii="宋体" w:hAnsi="宋体" w:eastAsia="宋体" w:cs="宋体"/>
                <w:b/>
                <w:bCs w:val="0"/>
                <w:color w:val="auto"/>
                <w:sz w:val="24"/>
                <w:highlight w:val="none"/>
                <w:lang w:eastAsia="zh-CN"/>
              </w:rPr>
              <w:t>。</w:t>
            </w:r>
          </w:p>
        </w:tc>
      </w:tr>
      <w:tr w14:paraId="5FDF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6" w:type="pct"/>
            <w:vAlign w:val="center"/>
          </w:tcPr>
          <w:p w14:paraId="308FD6EA">
            <w:pPr>
              <w:pStyle w:val="29"/>
              <w:numPr>
                <w:ilvl w:val="0"/>
                <w:numId w:val="1"/>
              </w:numPr>
              <w:pBdr>
                <w:bottom w:val="none" w:color="auto" w:sz="0" w:space="0"/>
              </w:pBdr>
              <w:tabs>
                <w:tab w:val="clear" w:pos="4153"/>
                <w:tab w:val="clear" w:pos="8306"/>
              </w:tabs>
              <w:adjustRightInd/>
              <w:spacing w:line="360" w:lineRule="auto"/>
              <w:ind w:left="425" w:leftChars="0" w:hanging="425" w:firstLineChars="0"/>
              <w:rPr>
                <w:rFonts w:hint="default" w:ascii="宋体" w:hAnsi="宋体" w:eastAsia="宋体" w:cs="宋体"/>
                <w:bCs/>
                <w:color w:val="auto"/>
                <w:kern w:val="2"/>
                <w:highlight w:val="none"/>
                <w:lang w:val="en-US" w:eastAsia="zh-CN"/>
              </w:rPr>
            </w:pPr>
          </w:p>
        </w:tc>
        <w:tc>
          <w:tcPr>
            <w:tcW w:w="2120" w:type="dxa"/>
            <w:vAlign w:val="center"/>
          </w:tcPr>
          <w:p w14:paraId="09840254">
            <w:pPr>
              <w:pStyle w:val="28"/>
              <w:pageBreakBefore w:val="0"/>
              <w:widowControl w:val="0"/>
              <w:kinsoku/>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对中小企业产品、监狱企业产品、残疾人福利单位产品的价格扣除标准（</w:t>
            </w:r>
            <w:r>
              <w:rPr>
                <w:rFonts w:hint="eastAsia" w:ascii="宋体" w:hAnsi="宋体" w:eastAsia="宋体" w:cs="宋体"/>
                <w:b w:val="0"/>
                <w:color w:val="auto"/>
                <w:sz w:val="24"/>
                <w:highlight w:val="none"/>
                <w:lang w:val="en-US" w:eastAsia="zh-CN"/>
              </w:rPr>
              <w:t>本项目</w:t>
            </w:r>
            <w:r>
              <w:rPr>
                <w:rFonts w:hint="eastAsia" w:ascii="宋体" w:hAnsi="宋体" w:eastAsia="宋体" w:cs="宋体"/>
                <w:b w:val="0"/>
                <w:color w:val="auto"/>
                <w:sz w:val="24"/>
                <w:highlight w:val="none"/>
              </w:rPr>
              <w:t>不采用）</w:t>
            </w:r>
          </w:p>
        </w:tc>
        <w:tc>
          <w:tcPr>
            <w:tcW w:w="6028" w:type="dxa"/>
            <w:vAlign w:val="center"/>
          </w:tcPr>
          <w:p w14:paraId="3AA25717">
            <w:pPr>
              <w:pStyle w:val="28"/>
              <w:pageBreakBefore w:val="0"/>
              <w:widowControl w:val="0"/>
              <w:kinsoku/>
              <w:overflowPunct/>
              <w:topLinePunct w:val="0"/>
              <w:bidi w:val="0"/>
              <w:spacing w:before="0" w:beforeAutospacing="0" w:after="0" w:afterAutospacing="0" w:line="360" w:lineRule="auto"/>
              <w:ind w:left="0" w:leftChars="0" w:right="0" w:rightChars="0"/>
              <w:jc w:val="both"/>
              <w:textAlignment w:val="auto"/>
              <w:rPr>
                <w:rFonts w:hint="eastAsia" w:asciiTheme="minorEastAsia" w:hAnsiTheme="minorEastAsia" w:eastAsiaTheme="minorEastAsia" w:cstheme="minorEastAsia"/>
                <w:b w:val="0"/>
                <w:color w:val="auto"/>
                <w:sz w:val="24"/>
                <w:highlight w:val="none"/>
                <w:lang w:val="en-US" w:eastAsia="zh-CN"/>
              </w:rPr>
            </w:pPr>
            <w:r>
              <w:rPr>
                <w:rFonts w:hint="eastAsia" w:asciiTheme="minorEastAsia" w:hAnsiTheme="minorEastAsia" w:eastAsiaTheme="minorEastAsia" w:cstheme="minorEastAsia"/>
                <w:b w:val="0"/>
                <w:color w:val="auto"/>
                <w:sz w:val="24"/>
                <w:highlight w:val="none"/>
                <w:lang w:val="en-US" w:eastAsia="zh-CN"/>
              </w:rPr>
              <w:t>依据财政部、工业和信息化部《关于印发&lt;政府采购促进中小企业发展管理办法&gt;的通知》（财库〔2020〕46号）以及《进一步加大政府采购支持中小企业力度》（财库〔2022〕19号）有关规定：</w:t>
            </w:r>
          </w:p>
          <w:p w14:paraId="6A12CCDB">
            <w:pPr>
              <w:pStyle w:val="28"/>
              <w:pageBreakBefore w:val="0"/>
              <w:widowControl w:val="0"/>
              <w:kinsoku/>
              <w:overflowPunct/>
              <w:topLinePunct w:val="0"/>
              <w:bidi w:val="0"/>
              <w:spacing w:before="0" w:beforeAutospacing="0" w:after="0" w:afterAutospacing="0" w:line="360" w:lineRule="auto"/>
              <w:ind w:left="0" w:leftChars="0" w:right="0" w:rightChars="0"/>
              <w:jc w:val="both"/>
              <w:textAlignment w:val="auto"/>
              <w:rPr>
                <w:rFonts w:hint="eastAsia" w:asciiTheme="minorEastAsia" w:hAnsiTheme="minorEastAsia" w:eastAsiaTheme="minorEastAsia" w:cstheme="minorEastAsia"/>
                <w:b w:val="0"/>
                <w:color w:val="auto"/>
                <w:sz w:val="24"/>
                <w:highlight w:val="none"/>
                <w:lang w:val="en-US" w:eastAsia="zh-CN"/>
              </w:rPr>
            </w:pPr>
            <w:r>
              <w:rPr>
                <w:rFonts w:hint="eastAsia" w:asciiTheme="minorEastAsia" w:hAnsiTheme="minorEastAsia" w:eastAsiaTheme="minorEastAsia" w:cstheme="minorEastAsia"/>
                <w:b w:val="0"/>
                <w:color w:val="auto"/>
                <w:sz w:val="24"/>
                <w:highlight w:val="none"/>
                <w:lang w:val="en-US" w:eastAsia="zh-CN"/>
              </w:rPr>
              <w:t>小型和微型企业价格扣除：（</w:t>
            </w:r>
            <w:r>
              <w:rPr>
                <w:rFonts w:hint="eastAsia" w:asciiTheme="minorEastAsia" w:hAnsiTheme="minorEastAsia" w:eastAsiaTheme="minorEastAsia" w:cstheme="minorEastAsia"/>
                <w:b w:val="0"/>
                <w:color w:val="auto"/>
                <w:sz w:val="24"/>
                <w:highlight w:val="none"/>
                <w:u w:val="single"/>
                <w:lang w:val="en-US" w:eastAsia="zh-CN"/>
              </w:rPr>
              <w:t>/</w:t>
            </w:r>
            <w:r>
              <w:rPr>
                <w:rFonts w:hint="eastAsia" w:asciiTheme="minorEastAsia" w:hAnsiTheme="minorEastAsia" w:eastAsiaTheme="minorEastAsia" w:cstheme="minorEastAsia"/>
                <w:b w:val="0"/>
                <w:color w:val="auto"/>
                <w:sz w:val="24"/>
                <w:highlight w:val="none"/>
                <w:lang w:val="en-US" w:eastAsia="zh-CN"/>
              </w:rPr>
              <w:t>）%（10%—20%）。</w:t>
            </w:r>
          </w:p>
          <w:p w14:paraId="28C8C720">
            <w:pPr>
              <w:pStyle w:val="28"/>
              <w:pageBreakBefore w:val="0"/>
              <w:widowControl w:val="0"/>
              <w:kinsoku/>
              <w:overflowPunct/>
              <w:topLinePunct w:val="0"/>
              <w:bidi w:val="0"/>
              <w:spacing w:before="0" w:beforeAutospacing="0" w:after="0" w:afterAutospacing="0" w:line="360" w:lineRule="auto"/>
              <w:ind w:left="0" w:leftChars="0" w:right="0" w:rightChars="0"/>
              <w:jc w:val="both"/>
              <w:textAlignment w:val="auto"/>
              <w:rPr>
                <w:rFonts w:hint="eastAsia" w:asciiTheme="minorEastAsia" w:hAnsiTheme="minorEastAsia" w:eastAsiaTheme="minorEastAsia" w:cstheme="minorEastAsia"/>
                <w:b w:val="0"/>
                <w:color w:val="auto"/>
                <w:sz w:val="24"/>
                <w:highlight w:val="none"/>
                <w:lang w:val="en-US" w:eastAsia="zh-CN"/>
              </w:rPr>
            </w:pPr>
            <w:r>
              <w:rPr>
                <w:rFonts w:hint="eastAsia" w:asciiTheme="minorEastAsia" w:hAnsiTheme="minorEastAsia" w:eastAsiaTheme="minorEastAsia" w:cstheme="minorEastAsia"/>
                <w:b w:val="0"/>
                <w:color w:val="auto"/>
                <w:sz w:val="24"/>
                <w:highlight w:val="none"/>
                <w:lang w:val="en-US" w:eastAsia="zh-CN"/>
              </w:rPr>
              <w:t>监狱企业价格扣除：同小型和微型企业。</w:t>
            </w:r>
          </w:p>
          <w:p w14:paraId="0D04AAFF">
            <w:pPr>
              <w:pStyle w:val="28"/>
              <w:pageBreakBefore w:val="0"/>
              <w:widowControl w:val="0"/>
              <w:kinsoku/>
              <w:overflowPunct/>
              <w:topLinePunct w:val="0"/>
              <w:bidi w:val="0"/>
              <w:spacing w:before="0" w:beforeAutospacing="0" w:after="0" w:afterAutospacing="0" w:line="360" w:lineRule="auto"/>
              <w:ind w:left="0" w:leftChars="0" w:right="0" w:rightChars="0"/>
              <w:jc w:val="both"/>
              <w:textAlignment w:val="auto"/>
              <w:rPr>
                <w:rFonts w:hint="eastAsia" w:asciiTheme="minorEastAsia" w:hAnsiTheme="minorEastAsia" w:eastAsiaTheme="minorEastAsia" w:cstheme="minorEastAsia"/>
                <w:b w:val="0"/>
                <w:color w:val="auto"/>
                <w:sz w:val="24"/>
                <w:highlight w:val="none"/>
                <w:lang w:val="en-US" w:eastAsia="zh-CN"/>
              </w:rPr>
            </w:pPr>
            <w:r>
              <w:rPr>
                <w:rFonts w:hint="eastAsia" w:asciiTheme="minorEastAsia" w:hAnsiTheme="minorEastAsia" w:eastAsiaTheme="minorEastAsia" w:cstheme="minorEastAsia"/>
                <w:b w:val="0"/>
                <w:color w:val="auto"/>
                <w:sz w:val="24"/>
                <w:highlight w:val="none"/>
                <w:lang w:val="en-US" w:eastAsia="zh-CN"/>
              </w:rPr>
              <w:t>残疾人福利性单位价格扣除：同小型和微型企业</w:t>
            </w:r>
          </w:p>
          <w:p w14:paraId="63BECC29">
            <w:pPr>
              <w:pStyle w:val="28"/>
              <w:pageBreakBefore w:val="0"/>
              <w:widowControl w:val="0"/>
              <w:kinsoku/>
              <w:overflowPunct/>
              <w:topLinePunct w:val="0"/>
              <w:bidi w:val="0"/>
              <w:spacing w:before="0" w:beforeAutospacing="0" w:after="0" w:afterAutospacing="0" w:line="360" w:lineRule="auto"/>
              <w:ind w:left="0" w:leftChars="0" w:right="0" w:rightChars="0"/>
              <w:jc w:val="both"/>
              <w:textAlignment w:val="auto"/>
              <w:rPr>
                <w:rFonts w:hint="eastAsia" w:asciiTheme="minorEastAsia" w:hAnsiTheme="minorEastAsia" w:eastAsiaTheme="minorEastAsia" w:cstheme="minorEastAsia"/>
                <w:b w:val="0"/>
                <w:color w:val="auto"/>
                <w:sz w:val="24"/>
                <w:highlight w:val="none"/>
                <w:lang w:val="en-US" w:eastAsia="zh-CN"/>
              </w:rPr>
            </w:pPr>
            <w:r>
              <w:rPr>
                <w:rFonts w:hint="eastAsia" w:asciiTheme="minorEastAsia" w:hAnsiTheme="minorEastAsia" w:eastAsiaTheme="minorEastAsia" w:cstheme="minorEastAsia"/>
                <w:b w:val="0"/>
                <w:color w:val="auto"/>
                <w:sz w:val="24"/>
                <w:highlight w:val="none"/>
                <w:lang w:val="en-US" w:eastAsia="zh-CN"/>
              </w:rPr>
              <w:t>符合条件的联合体价格扣除：（</w:t>
            </w:r>
            <w:r>
              <w:rPr>
                <w:rFonts w:hint="eastAsia" w:asciiTheme="minorEastAsia" w:hAnsiTheme="minorEastAsia" w:eastAsiaTheme="minorEastAsia" w:cstheme="minorEastAsia"/>
                <w:b w:val="0"/>
                <w:color w:val="auto"/>
                <w:sz w:val="24"/>
                <w:highlight w:val="none"/>
                <w:u w:val="single"/>
                <w:lang w:val="en-US" w:eastAsia="zh-CN"/>
              </w:rPr>
              <w:t xml:space="preserve"> / </w:t>
            </w:r>
            <w:r>
              <w:rPr>
                <w:rFonts w:hint="eastAsia" w:asciiTheme="minorEastAsia" w:hAnsiTheme="minorEastAsia" w:eastAsiaTheme="minorEastAsia" w:cstheme="minorEastAsia"/>
                <w:b w:val="0"/>
                <w:color w:val="auto"/>
                <w:sz w:val="24"/>
                <w:highlight w:val="none"/>
                <w:lang w:val="en-US" w:eastAsia="zh-CN"/>
              </w:rPr>
              <w:t>）%（4%-6%，接受联合体响应的项目适用）。</w:t>
            </w:r>
          </w:p>
          <w:p w14:paraId="76AF8F8C">
            <w:pPr>
              <w:pStyle w:val="28"/>
              <w:pageBreakBefore w:val="0"/>
              <w:widowControl w:val="0"/>
              <w:kinsoku/>
              <w:overflowPunct/>
              <w:topLinePunct w:val="0"/>
              <w:bidi w:val="0"/>
              <w:spacing w:before="0" w:beforeAutospacing="0" w:after="0" w:afterAutospacing="0" w:line="360" w:lineRule="auto"/>
              <w:ind w:left="0" w:leftChars="0" w:right="0" w:rightChars="0"/>
              <w:jc w:val="both"/>
              <w:textAlignment w:val="auto"/>
              <w:rPr>
                <w:rFonts w:hint="eastAsia" w:asciiTheme="minorEastAsia" w:hAnsiTheme="minorEastAsia" w:eastAsiaTheme="minorEastAsia" w:cstheme="minorEastAsia"/>
                <w:b w:val="0"/>
                <w:color w:val="auto"/>
                <w:sz w:val="24"/>
                <w:highlight w:val="none"/>
                <w:lang w:val="en-US" w:eastAsia="zh-CN"/>
              </w:rPr>
            </w:pPr>
            <w:r>
              <w:rPr>
                <w:rFonts w:hint="eastAsia" w:asciiTheme="minorEastAsia" w:hAnsiTheme="minorEastAsia" w:eastAsiaTheme="minorEastAsia" w:cstheme="minorEastAsia"/>
                <w:b w:val="0"/>
                <w:color w:val="auto"/>
                <w:sz w:val="24"/>
                <w:highlight w:val="none"/>
                <w:lang w:val="en-US" w:eastAsia="zh-CN"/>
              </w:rPr>
              <w:t>符合条件的向小微企业分包的大中型企业价格扣除：（</w:t>
            </w:r>
            <w:r>
              <w:rPr>
                <w:rFonts w:hint="eastAsia" w:asciiTheme="minorEastAsia" w:hAnsiTheme="minorEastAsia" w:eastAsiaTheme="minorEastAsia" w:cstheme="minorEastAsia"/>
                <w:b w:val="0"/>
                <w:color w:val="auto"/>
                <w:sz w:val="24"/>
                <w:highlight w:val="none"/>
                <w:u w:val="single"/>
                <w:lang w:val="en-US" w:eastAsia="zh-CN"/>
              </w:rPr>
              <w:t xml:space="preserve">/ </w:t>
            </w:r>
            <w:r>
              <w:rPr>
                <w:rFonts w:hint="eastAsia" w:asciiTheme="minorEastAsia" w:hAnsiTheme="minorEastAsia" w:eastAsiaTheme="minorEastAsia" w:cstheme="minorEastAsia"/>
                <w:b w:val="0"/>
                <w:color w:val="auto"/>
                <w:sz w:val="24"/>
                <w:highlight w:val="none"/>
                <w:lang w:val="en-US" w:eastAsia="zh-CN"/>
              </w:rPr>
              <w:t>）%。（4%-6%，允许大中型企业向小微企业分包的项目适用）</w:t>
            </w:r>
          </w:p>
          <w:p w14:paraId="6C899CF9">
            <w:pPr>
              <w:pStyle w:val="28"/>
              <w:pageBreakBefore w:val="0"/>
              <w:widowControl w:val="0"/>
              <w:kinsoku/>
              <w:overflowPunct/>
              <w:topLinePunct w:val="0"/>
              <w:bidi w:val="0"/>
              <w:spacing w:before="0" w:beforeAutospacing="0" w:after="0" w:afterAutospacing="0" w:line="360" w:lineRule="auto"/>
              <w:ind w:left="0" w:leftChars="0" w:right="0" w:rightChars="0"/>
              <w:jc w:val="both"/>
              <w:textAlignment w:val="auto"/>
              <w:rPr>
                <w:rFonts w:hint="eastAsia" w:asciiTheme="minorEastAsia" w:hAnsiTheme="minorEastAsia" w:eastAsiaTheme="minorEastAsia" w:cstheme="minorEastAsia"/>
                <w:b w:val="0"/>
                <w:color w:val="auto"/>
                <w:sz w:val="24"/>
                <w:highlight w:val="none"/>
                <w:lang w:val="en-US" w:eastAsia="zh-CN"/>
              </w:rPr>
            </w:pPr>
            <w:r>
              <w:rPr>
                <w:rFonts w:hint="eastAsia" w:asciiTheme="minorEastAsia" w:hAnsiTheme="minorEastAsia" w:eastAsiaTheme="minorEastAsia" w:cstheme="minorEastAsia"/>
                <w:b w:val="0"/>
                <w:color w:val="auto"/>
                <w:sz w:val="24"/>
                <w:highlight w:val="none"/>
                <w:lang w:val="en-US" w:eastAsia="zh-CN"/>
              </w:rPr>
              <w:t>参加本次采购活动的中小企业应当在响应文件中提供有效的《中小企业声明函》，并对其真实性负责。</w:t>
            </w:r>
          </w:p>
          <w:p w14:paraId="1D366896">
            <w:pPr>
              <w:pStyle w:val="28"/>
              <w:pageBreakBefore w:val="0"/>
              <w:widowControl w:val="0"/>
              <w:kinsoku/>
              <w:overflowPunct/>
              <w:topLinePunct w:val="0"/>
              <w:bidi w:val="0"/>
              <w:spacing w:before="0" w:beforeAutospacing="0" w:after="0" w:afterAutospacing="0" w:line="360" w:lineRule="auto"/>
              <w:ind w:left="0" w:leftChars="0" w:right="0" w:rightChars="0"/>
              <w:jc w:val="both"/>
              <w:textAlignment w:val="auto"/>
              <w:rPr>
                <w:rFonts w:hint="eastAsia" w:asciiTheme="minorEastAsia" w:hAnsiTheme="minorEastAsia" w:eastAsiaTheme="minorEastAsia" w:cstheme="minorEastAsia"/>
                <w:b/>
                <w:bCs w:val="0"/>
                <w:color w:val="auto"/>
                <w:sz w:val="24"/>
                <w:highlight w:val="none"/>
                <w:lang w:val="en-US" w:eastAsia="zh-CN"/>
              </w:rPr>
            </w:pPr>
            <w:r>
              <w:rPr>
                <w:rFonts w:hint="eastAsia" w:asciiTheme="minorEastAsia" w:hAnsiTheme="minorEastAsia" w:eastAsiaTheme="minorEastAsia" w:cstheme="minorEastAsia"/>
                <w:b w:val="0"/>
                <w:color w:val="auto"/>
                <w:sz w:val="24"/>
                <w:highlight w:val="none"/>
                <w:lang w:val="en-US" w:eastAsia="zh-CN"/>
              </w:rPr>
              <w:t>根据财政部 司法部《关于政府采购支持监狱企业发展有关问题的通知》(财库〔2014〕68号)，监狱企业视同小型、微型企业，不重复享受价格扣除优惠政策。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hint="eastAsia" w:asciiTheme="minorEastAsia" w:hAnsiTheme="minorEastAsia" w:eastAsiaTheme="minorEastAsia" w:cstheme="minorEastAsia"/>
                <w:b/>
                <w:bCs w:val="0"/>
                <w:color w:val="auto"/>
                <w:sz w:val="24"/>
                <w:highlight w:val="none"/>
                <w:lang w:val="en-US" w:eastAsia="zh-CN"/>
              </w:rPr>
              <w:t>监狱企业参加政府采购活动时，提供由省级以上监狱管理局、戒毒管理局(含新疆生产建设兵团)出具的属于监狱企业的证明文件扫描件，不再提供《中小企业声明函》。</w:t>
            </w:r>
          </w:p>
          <w:p w14:paraId="1C84D024">
            <w:pPr>
              <w:pStyle w:val="28"/>
              <w:pageBreakBefore w:val="0"/>
              <w:widowControl w:val="0"/>
              <w:kinsoku/>
              <w:overflowPunct/>
              <w:topLinePunct w:val="0"/>
              <w:bidi w:val="0"/>
              <w:spacing w:before="0" w:beforeAutospacing="0" w:after="0" w:afterAutospacing="0" w:line="360" w:lineRule="auto"/>
              <w:ind w:left="0" w:leftChars="0" w:right="0" w:rightChars="0"/>
              <w:jc w:val="both"/>
              <w:textAlignment w:val="auto"/>
              <w:rPr>
                <w:rFonts w:hint="eastAsia" w:asciiTheme="minorEastAsia" w:hAnsiTheme="minorEastAsia" w:eastAsiaTheme="minorEastAsia" w:cstheme="minorEastAsia"/>
                <w:b/>
                <w:bCs w:val="0"/>
                <w:color w:val="auto"/>
                <w:sz w:val="24"/>
                <w:highlight w:val="none"/>
                <w:lang w:val="en-US" w:eastAsia="zh-CN"/>
              </w:rPr>
            </w:pPr>
            <w:r>
              <w:rPr>
                <w:rFonts w:hint="eastAsia" w:asciiTheme="minorEastAsia" w:hAnsiTheme="minorEastAsia" w:eastAsiaTheme="minorEastAsia" w:cstheme="minorEastAsia"/>
                <w:b w:val="0"/>
                <w:color w:val="auto"/>
                <w:sz w:val="24"/>
                <w:highlight w:val="none"/>
                <w:lang w:val="en-US" w:eastAsia="zh-CN"/>
              </w:rPr>
              <w:t>根据 《财政部 民政部 中国残疾人联合会关于促进残疾人就业政府釆购政策的通知》(财库〔2017〕141号)的规定，残疾人福利性单位视同小型、微型企业，残疾人福利性单位同为小型、微型企业的，不重复享受价格扣除优惠政策。</w:t>
            </w:r>
            <w:r>
              <w:rPr>
                <w:rFonts w:hint="eastAsia" w:asciiTheme="minorEastAsia" w:hAnsiTheme="minorEastAsia" w:eastAsiaTheme="minorEastAsia" w:cstheme="minorEastAsia"/>
                <w:b/>
                <w:bCs w:val="0"/>
                <w:color w:val="auto"/>
                <w:sz w:val="24"/>
                <w:highlight w:val="none"/>
                <w:lang w:val="en-US" w:eastAsia="zh-CN"/>
              </w:rPr>
              <w:t>残疾人福利性单位参加政府采购活动时，应当在响应文件中提供《残疾人福利性单位声明函》，不再提供《中小企业声明函》，并对其真实性负责。</w:t>
            </w:r>
          </w:p>
          <w:p w14:paraId="66787CA6">
            <w:pPr>
              <w:pStyle w:val="28"/>
              <w:pageBreakBefore w:val="0"/>
              <w:widowControl w:val="0"/>
              <w:kinsoku/>
              <w:overflowPunct/>
              <w:topLinePunct w:val="0"/>
              <w:bidi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 w:val="0"/>
                <w:color w:val="auto"/>
                <w:sz w:val="24"/>
                <w:highlight w:val="none"/>
                <w:lang w:val="zh-CN"/>
              </w:rPr>
            </w:pPr>
            <w:r>
              <w:rPr>
                <w:rFonts w:hint="eastAsia" w:asciiTheme="minorEastAsia" w:hAnsiTheme="minorEastAsia" w:eastAsiaTheme="minorEastAsia" w:cstheme="minorEastAsia"/>
                <w:b/>
                <w:bCs w:val="0"/>
                <w:color w:val="auto"/>
                <w:sz w:val="24"/>
                <w:highlight w:val="none"/>
                <w:lang w:val="en-US" w:eastAsia="zh-CN"/>
              </w:rPr>
              <w:t>注：如提供虚假材料，将取消成交资格并报相关部门按有关规定处理，并计入不良记录。</w:t>
            </w:r>
          </w:p>
        </w:tc>
      </w:tr>
      <w:tr w14:paraId="5011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6" w:type="pct"/>
            <w:vAlign w:val="center"/>
          </w:tcPr>
          <w:p w14:paraId="2C94F712">
            <w:pPr>
              <w:pStyle w:val="29"/>
              <w:numPr>
                <w:ilvl w:val="0"/>
                <w:numId w:val="1"/>
              </w:numPr>
              <w:pBdr>
                <w:bottom w:val="none" w:color="auto" w:sz="0" w:space="0"/>
              </w:pBdr>
              <w:tabs>
                <w:tab w:val="clear" w:pos="4153"/>
                <w:tab w:val="clear" w:pos="8306"/>
              </w:tabs>
              <w:adjustRightInd/>
              <w:spacing w:line="360" w:lineRule="auto"/>
              <w:ind w:left="425" w:leftChars="0" w:hanging="425" w:firstLineChars="0"/>
              <w:rPr>
                <w:rFonts w:hint="default" w:ascii="宋体" w:hAnsi="宋体" w:eastAsia="宋体" w:cs="宋体"/>
                <w:bCs/>
                <w:color w:val="auto"/>
                <w:kern w:val="2"/>
                <w:highlight w:val="none"/>
                <w:lang w:val="en-US" w:eastAsia="zh-CN"/>
              </w:rPr>
            </w:pPr>
          </w:p>
        </w:tc>
        <w:tc>
          <w:tcPr>
            <w:tcW w:w="1156" w:type="pct"/>
            <w:vAlign w:val="center"/>
          </w:tcPr>
          <w:p w14:paraId="4CCD848C">
            <w:pPr>
              <w:pStyle w:val="28"/>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3287" w:type="pct"/>
            <w:vAlign w:val="center"/>
          </w:tcPr>
          <w:p w14:paraId="4781E5C1">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hint="eastAsia" w:asciiTheme="minorEastAsia" w:hAnsiTheme="minorEastAsia" w:eastAsiaTheme="minorEastAsia" w:cstheme="minorEastAsia"/>
                <w:b w:val="0"/>
                <w:color w:val="auto"/>
                <w:sz w:val="24"/>
                <w:highlight w:val="none"/>
                <w:lang w:val="zh-CN"/>
              </w:rPr>
            </w:pPr>
            <w:r>
              <w:rPr>
                <w:rFonts w:hint="eastAsia" w:asciiTheme="minorEastAsia" w:hAnsiTheme="minorEastAsia" w:eastAsiaTheme="minorEastAsia" w:cstheme="minorEastAsia"/>
                <w:b w:val="0"/>
                <w:color w:val="auto"/>
                <w:sz w:val="24"/>
                <w:highlight w:val="none"/>
              </w:rPr>
              <w:t>递交方式：</w:t>
            </w:r>
            <w:r>
              <w:rPr>
                <w:rFonts w:hint="eastAsia" w:asciiTheme="minorEastAsia" w:hAnsiTheme="minorEastAsia" w:eastAsiaTheme="minorEastAsia" w:cstheme="minorEastAsia"/>
                <w:b w:val="0"/>
                <w:color w:val="auto"/>
                <w:sz w:val="24"/>
                <w:highlight w:val="none"/>
                <w:lang w:val="zh-CN"/>
              </w:rPr>
              <w:t>书面提出</w:t>
            </w:r>
          </w:p>
          <w:p w14:paraId="73DF9986">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hint="eastAsia" w:asciiTheme="minorEastAsia" w:hAnsiTheme="minorEastAsia" w:eastAsiaTheme="minorEastAsia" w:cstheme="minorEastAsia"/>
                <w:b w:val="0"/>
                <w:color w:val="auto"/>
                <w:sz w:val="24"/>
                <w:highlight w:val="none"/>
                <w:lang w:val="zh-CN"/>
              </w:rPr>
            </w:pPr>
            <w:r>
              <w:rPr>
                <w:rFonts w:hint="eastAsia" w:asciiTheme="minorEastAsia" w:hAnsiTheme="minorEastAsia" w:eastAsiaTheme="minorEastAsia" w:cstheme="minorEastAsia"/>
                <w:b w:val="0"/>
                <w:color w:val="auto"/>
                <w:sz w:val="24"/>
                <w:highlight w:val="none"/>
                <w:lang w:val="zh-CN"/>
              </w:rPr>
              <w:t>接收部门：安徽龙方工程咨询有限公司</w:t>
            </w:r>
          </w:p>
          <w:p w14:paraId="6CA14898">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hint="eastAsia" w:asciiTheme="minorEastAsia" w:hAnsiTheme="minorEastAsia" w:eastAsiaTheme="minorEastAsia" w:cstheme="minorEastAsia"/>
                <w:b w:val="0"/>
                <w:color w:val="auto"/>
                <w:sz w:val="24"/>
                <w:highlight w:val="none"/>
                <w:lang w:val="zh-CN"/>
              </w:rPr>
            </w:pPr>
            <w:r>
              <w:rPr>
                <w:rFonts w:hint="eastAsia" w:asciiTheme="minorEastAsia" w:hAnsiTheme="minorEastAsia" w:eastAsiaTheme="minorEastAsia" w:cstheme="minorEastAsia"/>
                <w:b w:val="0"/>
                <w:color w:val="auto"/>
                <w:sz w:val="24"/>
                <w:highlight w:val="none"/>
                <w:lang w:val="zh-CN"/>
              </w:rPr>
              <w:t>联系电话：17705586201</w:t>
            </w:r>
          </w:p>
          <w:p w14:paraId="66C8CA99">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hint="eastAsia" w:asciiTheme="minorEastAsia" w:hAnsiTheme="minorEastAsia" w:eastAsiaTheme="minorEastAsia" w:cstheme="minorEastAsia"/>
                <w:b w:val="0"/>
                <w:color w:val="auto"/>
                <w:sz w:val="24"/>
                <w:highlight w:val="none"/>
                <w:lang w:val="zh-CN"/>
              </w:rPr>
            </w:pPr>
            <w:r>
              <w:rPr>
                <w:rFonts w:hint="eastAsia" w:asciiTheme="minorEastAsia" w:hAnsiTheme="minorEastAsia" w:eastAsiaTheme="minorEastAsia" w:cstheme="minorEastAsia"/>
                <w:b w:val="0"/>
                <w:color w:val="auto"/>
                <w:sz w:val="24"/>
                <w:highlight w:val="none"/>
                <w:lang w:val="zh-CN"/>
              </w:rPr>
              <w:t>电子邮箱：930495096@qq.com</w:t>
            </w:r>
          </w:p>
          <w:p w14:paraId="24F551B4">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hint="eastAsia" w:asciiTheme="minorEastAsia" w:hAnsiTheme="minorEastAsia" w:eastAsiaTheme="minorEastAsia" w:cstheme="minorEastAsia"/>
                <w:b w:val="0"/>
                <w:color w:val="auto"/>
                <w:sz w:val="24"/>
                <w:highlight w:val="none"/>
                <w:lang w:val="en-US" w:eastAsia="zh-CN"/>
              </w:rPr>
            </w:pPr>
            <w:r>
              <w:rPr>
                <w:rFonts w:hint="eastAsia" w:asciiTheme="minorEastAsia" w:hAnsiTheme="minorEastAsia" w:eastAsiaTheme="minorEastAsia" w:cstheme="minorEastAsia"/>
                <w:b w:val="0"/>
                <w:color w:val="auto"/>
                <w:sz w:val="24"/>
                <w:highlight w:val="none"/>
                <w:lang w:val="zh-CN"/>
              </w:rPr>
              <w:t>通讯地址：</w:t>
            </w:r>
            <w:r>
              <w:rPr>
                <w:rFonts w:hint="eastAsia" w:asciiTheme="minorEastAsia" w:hAnsiTheme="minorEastAsia" w:eastAsiaTheme="minorEastAsia" w:cstheme="minorEastAsia"/>
                <w:b w:val="0"/>
                <w:color w:val="auto"/>
                <w:sz w:val="24"/>
                <w:highlight w:val="none"/>
                <w:lang w:val="en-US" w:eastAsia="zh-CN"/>
              </w:rPr>
              <w:t>界首市劳动路435号</w:t>
            </w:r>
          </w:p>
        </w:tc>
      </w:tr>
      <w:tr w14:paraId="6B82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6" w:type="pct"/>
            <w:vAlign w:val="center"/>
          </w:tcPr>
          <w:p w14:paraId="7A743C70">
            <w:pPr>
              <w:pStyle w:val="29"/>
              <w:numPr>
                <w:ilvl w:val="0"/>
                <w:numId w:val="1"/>
              </w:numPr>
              <w:pBdr>
                <w:bottom w:val="none" w:color="auto" w:sz="0" w:space="0"/>
              </w:pBdr>
              <w:tabs>
                <w:tab w:val="clear" w:pos="4153"/>
                <w:tab w:val="clear" w:pos="8306"/>
              </w:tabs>
              <w:adjustRightInd/>
              <w:spacing w:line="360" w:lineRule="auto"/>
              <w:ind w:left="425" w:leftChars="0" w:hanging="425" w:firstLineChars="0"/>
              <w:rPr>
                <w:rFonts w:hint="default" w:ascii="宋体" w:hAnsi="宋体" w:eastAsia="宋体" w:cs="宋体"/>
                <w:bCs/>
                <w:color w:val="auto"/>
                <w:kern w:val="2"/>
                <w:highlight w:val="none"/>
                <w:lang w:val="en-US" w:eastAsia="zh-CN"/>
              </w:rPr>
            </w:pPr>
          </w:p>
        </w:tc>
        <w:tc>
          <w:tcPr>
            <w:tcW w:w="1156" w:type="pct"/>
            <w:vAlign w:val="center"/>
          </w:tcPr>
          <w:p w14:paraId="3F2AB7B6">
            <w:pPr>
              <w:pStyle w:val="28"/>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投诉函递交的方式、接收部门、联系电话和通讯地址</w:t>
            </w:r>
          </w:p>
        </w:tc>
        <w:tc>
          <w:tcPr>
            <w:tcW w:w="3287" w:type="pct"/>
            <w:vAlign w:val="center"/>
          </w:tcPr>
          <w:p w14:paraId="64EDF6E3">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hint="eastAsia" w:asciiTheme="minorEastAsia" w:hAnsiTheme="minorEastAsia" w:eastAsiaTheme="minorEastAsia" w:cstheme="minorEastAsia"/>
                <w:b w:val="0"/>
                <w:color w:val="auto"/>
                <w:sz w:val="24"/>
                <w:highlight w:val="none"/>
                <w:lang w:val="zh-CN"/>
              </w:rPr>
            </w:pPr>
            <w:r>
              <w:rPr>
                <w:rFonts w:hint="eastAsia" w:asciiTheme="minorEastAsia" w:hAnsiTheme="minorEastAsia" w:eastAsiaTheme="minorEastAsia" w:cstheme="minorEastAsia"/>
                <w:b w:val="0"/>
                <w:color w:val="auto"/>
                <w:sz w:val="24"/>
                <w:highlight w:val="none"/>
              </w:rPr>
              <w:t>递交方式：</w:t>
            </w:r>
            <w:r>
              <w:rPr>
                <w:rFonts w:hint="eastAsia" w:asciiTheme="minorEastAsia" w:hAnsiTheme="minorEastAsia" w:eastAsiaTheme="minorEastAsia" w:cstheme="minorEastAsia"/>
                <w:b w:val="0"/>
                <w:color w:val="auto"/>
                <w:sz w:val="24"/>
                <w:highlight w:val="none"/>
                <w:lang w:val="zh-CN"/>
              </w:rPr>
              <w:t>书面提出</w:t>
            </w:r>
          </w:p>
          <w:p w14:paraId="6CE84853">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hint="eastAsia" w:asciiTheme="minorEastAsia" w:hAnsiTheme="minorEastAsia" w:eastAsiaTheme="minorEastAsia" w:cstheme="minorEastAsia"/>
                <w:b w:val="0"/>
                <w:color w:val="auto"/>
                <w:sz w:val="24"/>
                <w:highlight w:val="none"/>
                <w:lang w:val="zh-CN"/>
              </w:rPr>
            </w:pPr>
            <w:r>
              <w:rPr>
                <w:rFonts w:hint="eastAsia" w:asciiTheme="minorEastAsia" w:hAnsiTheme="minorEastAsia" w:eastAsiaTheme="minorEastAsia" w:cstheme="minorEastAsia"/>
                <w:b w:val="0"/>
                <w:color w:val="auto"/>
                <w:sz w:val="24"/>
                <w:highlight w:val="none"/>
                <w:lang w:val="zh-CN"/>
              </w:rPr>
              <w:t>接收部门：</w:t>
            </w:r>
            <w:r>
              <w:rPr>
                <w:rFonts w:hint="eastAsia" w:asciiTheme="minorEastAsia" w:hAnsiTheme="minorEastAsia" w:eastAsiaTheme="minorEastAsia" w:cstheme="minorEastAsia"/>
                <w:b w:val="0"/>
                <w:color w:val="auto"/>
                <w:sz w:val="24"/>
                <w:highlight w:val="none"/>
                <w:lang w:val="en-US" w:eastAsia="zh-CN"/>
              </w:rPr>
              <w:t>中共界首市委社会工作部</w:t>
            </w:r>
          </w:p>
          <w:p w14:paraId="14B7CA9A">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hint="eastAsia" w:asciiTheme="minorEastAsia" w:hAnsiTheme="minorEastAsia" w:eastAsiaTheme="minorEastAsia" w:cstheme="minorEastAsia"/>
                <w:b w:val="0"/>
                <w:color w:val="auto"/>
                <w:sz w:val="24"/>
                <w:highlight w:val="none"/>
                <w:lang w:val="zh-CN"/>
              </w:rPr>
            </w:pPr>
            <w:r>
              <w:rPr>
                <w:rFonts w:hint="eastAsia" w:asciiTheme="minorEastAsia" w:hAnsiTheme="minorEastAsia" w:eastAsiaTheme="minorEastAsia" w:cstheme="minorEastAsia"/>
                <w:b w:val="0"/>
                <w:color w:val="auto"/>
                <w:sz w:val="24"/>
                <w:highlight w:val="none"/>
                <w:lang w:val="zh-CN"/>
              </w:rPr>
              <w:t>联系电话：13956789503</w:t>
            </w:r>
          </w:p>
          <w:p w14:paraId="4982E040">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hint="eastAsia" w:asciiTheme="minorEastAsia" w:hAnsiTheme="minorEastAsia" w:eastAsiaTheme="minorEastAsia" w:cstheme="minorEastAsia"/>
                <w:b w:val="0"/>
                <w:color w:val="auto"/>
                <w:sz w:val="24"/>
                <w:highlight w:val="none"/>
                <w:lang w:val="zh-CN"/>
              </w:rPr>
            </w:pPr>
            <w:r>
              <w:rPr>
                <w:rFonts w:hint="eastAsia" w:asciiTheme="minorEastAsia" w:hAnsiTheme="minorEastAsia" w:eastAsiaTheme="minorEastAsia" w:cstheme="minorEastAsia"/>
                <w:b w:val="0"/>
                <w:color w:val="auto"/>
                <w:sz w:val="24"/>
                <w:highlight w:val="none"/>
                <w:lang w:val="zh-CN"/>
              </w:rPr>
              <w:t>通讯地址：安徽省界首市人民路1号</w:t>
            </w:r>
          </w:p>
        </w:tc>
      </w:tr>
      <w:tr w14:paraId="264F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556" w:type="pct"/>
            <w:vAlign w:val="center"/>
          </w:tcPr>
          <w:p w14:paraId="3846C9F4">
            <w:pPr>
              <w:pStyle w:val="29"/>
              <w:numPr>
                <w:ilvl w:val="0"/>
                <w:numId w:val="1"/>
              </w:numPr>
              <w:pBdr>
                <w:bottom w:val="none" w:color="auto" w:sz="0" w:space="0"/>
              </w:pBdr>
              <w:tabs>
                <w:tab w:val="clear" w:pos="4153"/>
                <w:tab w:val="clear" w:pos="8306"/>
              </w:tabs>
              <w:adjustRightInd/>
              <w:spacing w:line="360" w:lineRule="auto"/>
              <w:ind w:left="425" w:leftChars="0" w:hanging="425" w:firstLineChars="0"/>
              <w:rPr>
                <w:rFonts w:hint="default" w:ascii="宋体" w:hAnsi="宋体" w:eastAsia="宋体" w:cs="宋体"/>
                <w:bCs/>
                <w:color w:val="auto"/>
                <w:kern w:val="2"/>
                <w:highlight w:val="none"/>
                <w:lang w:val="en-US" w:eastAsia="zh-CN"/>
              </w:rPr>
            </w:pPr>
          </w:p>
        </w:tc>
        <w:tc>
          <w:tcPr>
            <w:tcW w:w="1156" w:type="pct"/>
            <w:vAlign w:val="center"/>
          </w:tcPr>
          <w:p w14:paraId="6C1FA7EB">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是否为专门面向</w:t>
            </w:r>
          </w:p>
          <w:p w14:paraId="748BDCB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bCs/>
                <w:color w:val="auto"/>
                <w:kern w:val="0"/>
                <w:sz w:val="24"/>
                <w:szCs w:val="24"/>
                <w:highlight w:val="none"/>
                <w:lang w:val="en-US" w:eastAsia="zh-CN" w:bidi="ar-SA"/>
              </w:rPr>
              <w:t>中小企业采购</w:t>
            </w:r>
          </w:p>
        </w:tc>
        <w:tc>
          <w:tcPr>
            <w:tcW w:w="3287" w:type="pct"/>
            <w:vAlign w:val="center"/>
          </w:tcPr>
          <w:p w14:paraId="511B2455">
            <w:pPr>
              <w:keepNext w:val="0"/>
              <w:keepLines w:val="0"/>
              <w:pageBreakBefore w:val="0"/>
              <w:widowControl/>
              <w:suppressLineNumbers w:val="0"/>
              <w:kinsoku/>
              <w:wordWrap/>
              <w:overflowPunct/>
              <w:topLinePunct w:val="0"/>
              <w:autoSpaceDE/>
              <w:autoSpaceDN/>
              <w:bidi w:val="0"/>
              <w:adjustRightInd/>
              <w:snapToGrid/>
              <w:spacing w:line="360" w:lineRule="auto"/>
              <w:ind w:left="105" w:leftChars="50" w:right="105" w:rightChars="5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□是，本项目专门面向中小企业采购，如供应商提供的服务不符合《政府采购促进中小企业发展管理办法》第四条规定的，其响应文件将被认定为无效。 </w:t>
            </w:r>
          </w:p>
          <w:p w14:paraId="2937026C">
            <w:pPr>
              <w:keepNext w:val="0"/>
              <w:keepLines w:val="0"/>
              <w:pageBreakBefore w:val="0"/>
              <w:widowControl/>
              <w:suppressLineNumbers w:val="0"/>
              <w:kinsoku/>
              <w:wordWrap/>
              <w:overflowPunct/>
              <w:topLinePunct w:val="0"/>
              <w:autoSpaceDE/>
              <w:autoSpaceDN/>
              <w:bidi w:val="0"/>
              <w:adjustRightInd/>
              <w:snapToGrid/>
              <w:spacing w:line="360" w:lineRule="auto"/>
              <w:ind w:left="105" w:leftChars="50" w:right="105" w:rightChars="50"/>
              <w:jc w:val="left"/>
              <w:rPr>
                <w:rFonts w:hint="eastAsia" w:asciiTheme="minorEastAsia" w:hAnsiTheme="minorEastAsia" w:eastAsiaTheme="minorEastAsia" w:cstheme="minorEastAsia"/>
                <w:b w:val="0"/>
                <w:color w:val="auto"/>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bidi="ar"/>
              </w:rPr>
              <w:t>☑否</w:t>
            </w:r>
          </w:p>
        </w:tc>
      </w:tr>
      <w:tr w14:paraId="6536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6" w:type="pct"/>
            <w:vAlign w:val="center"/>
          </w:tcPr>
          <w:p w14:paraId="62DCE747">
            <w:pPr>
              <w:pStyle w:val="29"/>
              <w:pBdr>
                <w:bottom w:val="none" w:color="auto" w:sz="0" w:space="0"/>
              </w:pBdr>
              <w:tabs>
                <w:tab w:val="clear" w:pos="4153"/>
                <w:tab w:val="clear" w:pos="8306"/>
              </w:tabs>
              <w:adjustRightInd/>
              <w:spacing w:line="360" w:lineRule="auto"/>
              <w:rPr>
                <w:rFonts w:hint="default"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25.1</w:t>
            </w:r>
          </w:p>
        </w:tc>
        <w:tc>
          <w:tcPr>
            <w:tcW w:w="1156" w:type="pct"/>
            <w:vAlign w:val="center"/>
          </w:tcPr>
          <w:p w14:paraId="07C8DF7F">
            <w:pPr>
              <w:pStyle w:val="28"/>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本项目提供除磋商文件以外的其他资料</w:t>
            </w:r>
          </w:p>
        </w:tc>
        <w:tc>
          <w:tcPr>
            <w:tcW w:w="3287" w:type="pct"/>
            <w:vAlign w:val="center"/>
          </w:tcPr>
          <w:p w14:paraId="7FE3A21F">
            <w:pPr>
              <w:pStyle w:val="28"/>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left="105" w:leftChars="50" w:right="105" w:rightChars="50"/>
              <w:jc w:val="left"/>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在</w:t>
            </w:r>
            <w:r>
              <w:rPr>
                <w:rFonts w:hint="eastAsia" w:asciiTheme="minorEastAsia" w:hAnsiTheme="minorEastAsia" w:eastAsiaTheme="minorEastAsia" w:cstheme="minorEastAsia"/>
                <w:b/>
                <w:bCs w:val="0"/>
                <w:color w:val="auto"/>
                <w:sz w:val="24"/>
                <w:highlight w:val="none"/>
                <w:lang w:eastAsia="zh-CN"/>
              </w:rPr>
              <w:t>《安徽省政府采购信息服务网》、《界首社会工作公众号》和《界首市人民政府》网站</w:t>
            </w:r>
            <w:r>
              <w:rPr>
                <w:rFonts w:hint="eastAsia" w:asciiTheme="minorEastAsia" w:hAnsiTheme="minorEastAsia" w:eastAsiaTheme="minorEastAsia" w:cstheme="minorEastAsia"/>
                <w:b w:val="0"/>
                <w:color w:val="auto"/>
                <w:sz w:val="24"/>
                <w:highlight w:val="none"/>
              </w:rPr>
              <w:t>下载。</w:t>
            </w:r>
          </w:p>
        </w:tc>
      </w:tr>
      <w:tr w14:paraId="52E9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6" w:type="pct"/>
            <w:vAlign w:val="center"/>
          </w:tcPr>
          <w:p w14:paraId="2EA655B4">
            <w:pPr>
              <w:pStyle w:val="29"/>
              <w:pBdr>
                <w:bottom w:val="none" w:color="auto" w:sz="0" w:space="0"/>
              </w:pBdr>
              <w:tabs>
                <w:tab w:val="clear" w:pos="4153"/>
                <w:tab w:val="clear" w:pos="8306"/>
              </w:tabs>
              <w:adjustRightInd/>
              <w:spacing w:line="360" w:lineRule="auto"/>
              <w:rPr>
                <w:rFonts w:hint="default"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25.2</w:t>
            </w:r>
          </w:p>
        </w:tc>
        <w:tc>
          <w:tcPr>
            <w:tcW w:w="1156" w:type="pct"/>
            <w:vAlign w:val="center"/>
          </w:tcPr>
          <w:p w14:paraId="48A1A6D4">
            <w:pPr>
              <w:pStyle w:val="28"/>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解释权</w:t>
            </w:r>
          </w:p>
        </w:tc>
        <w:tc>
          <w:tcPr>
            <w:tcW w:w="3287" w:type="pct"/>
            <w:vAlign w:val="center"/>
          </w:tcPr>
          <w:p w14:paraId="66E9B002">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（1）构成本磋商文件的各个组成文件应互为解释，互为说明；</w:t>
            </w:r>
          </w:p>
          <w:p w14:paraId="560F21D6">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（2）同一组成文件中就同一事项的规定或约定不一致的，以编排顺序在后者为准；</w:t>
            </w:r>
          </w:p>
          <w:p w14:paraId="066C9959">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（3）如有不明确或不一致，构成合同文件组成内容的，以合同文件约定内容为准，且以专用合同条款约定的合同文件优先顺序解释；</w:t>
            </w:r>
          </w:p>
          <w:p w14:paraId="7A17D6D9">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（4）除磋商文件中有特别规定外，仅适用于磋商及响应文件提交阶段的规定，按磋商公告、供应商须知、评审方法和标准、响应文件格式的先后顺序解释；</w:t>
            </w:r>
          </w:p>
          <w:p w14:paraId="0AC1D683">
            <w:pPr>
              <w:pStyle w:val="28"/>
              <w:keepNext w:val="0"/>
              <w:keepLines w:val="0"/>
              <w:pageBreakBefore w:val="0"/>
              <w:widowControl w:val="0"/>
              <w:wordWrap/>
              <w:overflowPunct/>
              <w:topLinePunct w:val="0"/>
              <w:bidi w:val="0"/>
              <w:spacing w:before="0" w:beforeAutospacing="0" w:after="0" w:afterAutospacing="0" w:line="360" w:lineRule="auto"/>
              <w:ind w:left="105" w:leftChars="50" w:right="105" w:rightChars="50"/>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（5）按本款前述规定仍不能形成结论的，由采购人负责解释。</w:t>
            </w:r>
          </w:p>
        </w:tc>
      </w:tr>
      <w:tr w14:paraId="590A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6" w:type="pct"/>
            <w:vAlign w:val="center"/>
          </w:tcPr>
          <w:p w14:paraId="78F08E9D">
            <w:pPr>
              <w:pStyle w:val="29"/>
              <w:pBdr>
                <w:bottom w:val="none" w:color="auto" w:sz="0" w:space="0"/>
              </w:pBdr>
              <w:tabs>
                <w:tab w:val="clear" w:pos="4153"/>
                <w:tab w:val="clear" w:pos="8306"/>
              </w:tabs>
              <w:adjustRightInd/>
              <w:spacing w:line="360" w:lineRule="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lang w:val="en-US" w:eastAsia="zh-CN"/>
              </w:rPr>
              <w:t>25</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3</w:t>
            </w:r>
          </w:p>
        </w:tc>
        <w:tc>
          <w:tcPr>
            <w:tcW w:w="1156" w:type="pct"/>
            <w:vAlign w:val="center"/>
          </w:tcPr>
          <w:p w14:paraId="58C9B7AA">
            <w:pPr>
              <w:pStyle w:val="28"/>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kern w:val="2"/>
                <w:sz w:val="24"/>
                <w:szCs w:val="24"/>
                <w:highlight w:val="none"/>
              </w:rPr>
              <w:t>原则规定与定义</w:t>
            </w:r>
          </w:p>
        </w:tc>
        <w:tc>
          <w:tcPr>
            <w:tcW w:w="3287" w:type="pct"/>
            <w:vAlign w:val="center"/>
          </w:tcPr>
          <w:p w14:paraId="3D81CA95">
            <w:pPr>
              <w:keepNext w:val="0"/>
              <w:keepLines w:val="0"/>
              <w:pageBreakBefore w:val="0"/>
              <w:wordWrap/>
              <w:overflowPunct/>
              <w:topLinePunct w:val="0"/>
              <w:bidi w:val="0"/>
              <w:spacing w:line="360" w:lineRule="auto"/>
              <w:ind w:left="105" w:leftChars="50" w:right="105" w:rightChars="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（1）供应商须知前附表是对供应商须知正文部分对应条款的补充、细化，供应商阅读时应与正文部分一并阅读，供应商须知前附表与正文部分不一致处，应以供应商须知前附表为准。</w:t>
            </w:r>
          </w:p>
          <w:p w14:paraId="5B3E01E6">
            <w:pPr>
              <w:keepNext w:val="0"/>
              <w:keepLines w:val="0"/>
              <w:pageBreakBefore w:val="0"/>
              <w:wordWrap/>
              <w:overflowPunct/>
              <w:topLinePunct w:val="0"/>
              <w:bidi w:val="0"/>
              <w:spacing w:line="360" w:lineRule="auto"/>
              <w:ind w:left="105" w:leftChars="50" w:right="105" w:rightChars="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rPr>
              <w:sym w:font="Wingdings" w:char="F0FE"/>
            </w:r>
            <w:r>
              <w:rPr>
                <w:rFonts w:hint="eastAsia" w:asciiTheme="minorEastAsia" w:hAnsiTheme="minorEastAsia" w:eastAsiaTheme="minorEastAsia" w:cstheme="minorEastAsia"/>
                <w:bCs/>
                <w:color w:val="auto"/>
                <w:sz w:val="24"/>
                <w:szCs w:val="24"/>
                <w:highlight w:val="none"/>
              </w:rPr>
              <w:t>”符号表示本竞争性磋商文件选定的内容；“□”符号表示本竞争性磋商文件未选定的内容；空格中的“/”表示没有具体内容。供应商请按“</w:t>
            </w:r>
            <w:r>
              <w:rPr>
                <w:rFonts w:hint="eastAsia" w:asciiTheme="minorEastAsia" w:hAnsiTheme="minorEastAsia" w:eastAsiaTheme="minorEastAsia" w:cstheme="minorEastAsia"/>
                <w:bCs/>
                <w:color w:val="auto"/>
                <w:sz w:val="24"/>
                <w:szCs w:val="24"/>
                <w:highlight w:val="none"/>
              </w:rPr>
              <w:sym w:font="Wingdings" w:char="F0FE"/>
            </w:r>
            <w:r>
              <w:rPr>
                <w:rFonts w:hint="eastAsia" w:asciiTheme="minorEastAsia" w:hAnsiTheme="minorEastAsia" w:eastAsiaTheme="minorEastAsia" w:cstheme="minorEastAsia"/>
                <w:bCs/>
                <w:color w:val="auto"/>
                <w:sz w:val="24"/>
                <w:szCs w:val="24"/>
                <w:highlight w:val="none"/>
              </w:rPr>
              <w:t>符号”选定的内容和要求参加采购活动。</w:t>
            </w:r>
          </w:p>
          <w:p w14:paraId="5A586D6E">
            <w:pPr>
              <w:keepNext w:val="0"/>
              <w:keepLines w:val="0"/>
              <w:pageBreakBefore w:val="0"/>
              <w:wordWrap/>
              <w:overflowPunct/>
              <w:topLinePunct w:val="0"/>
              <w:bidi w:val="0"/>
              <w:spacing w:line="360" w:lineRule="auto"/>
              <w:ind w:left="105" w:leftChars="50" w:right="105" w:rightChars="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（3）与合同履行有关条款中注明的“甲方”、“买方”，在采购阶段按“采购人”理解；注明的“乙方”、“卖方”，按“供应商”理解。</w:t>
            </w:r>
          </w:p>
        </w:tc>
      </w:tr>
      <w:tr w14:paraId="5044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6" w:type="pct"/>
            <w:vAlign w:val="center"/>
          </w:tcPr>
          <w:p w14:paraId="4B4A2596">
            <w:pPr>
              <w:pStyle w:val="29"/>
              <w:pBdr>
                <w:bottom w:val="none" w:color="auto" w:sz="0" w:space="0"/>
              </w:pBdr>
              <w:tabs>
                <w:tab w:val="clear" w:pos="4153"/>
                <w:tab w:val="clear" w:pos="8306"/>
              </w:tabs>
              <w:adjustRightInd/>
              <w:spacing w:line="360" w:lineRule="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lang w:val="en-US" w:eastAsia="zh-CN"/>
              </w:rPr>
              <w:t>25</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4</w:t>
            </w:r>
          </w:p>
        </w:tc>
        <w:tc>
          <w:tcPr>
            <w:tcW w:w="1156" w:type="pct"/>
            <w:vAlign w:val="center"/>
          </w:tcPr>
          <w:p w14:paraId="31523AF0">
            <w:pPr>
              <w:pStyle w:val="28"/>
              <w:widowControl w:val="0"/>
              <w:spacing w:before="0" w:beforeAutospacing="0" w:after="0" w:afterAutospacing="0" w:line="360" w:lineRule="auto"/>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知识产权</w:t>
            </w:r>
          </w:p>
        </w:tc>
        <w:tc>
          <w:tcPr>
            <w:tcW w:w="3287" w:type="pct"/>
            <w:vAlign w:val="center"/>
          </w:tcPr>
          <w:p w14:paraId="2C68D5E5">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（1）构成本竞争性磋商文件各个组成部分的文件，未经采购人书面同意，供应商不得擅自复印和用于非本采购项目所需的其他目的。如因此导致采购人损失的，供应商须承担全部赔偿责任。</w:t>
            </w:r>
          </w:p>
          <w:p w14:paraId="0D332D1A">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采购人在中华人民共和国境内使用成交货物（服务）、资料、技术、服务或其任何一部分时，履行合同义务后，享有不受限制的无偿使用权，不会产生因第三方提出侵犯其专利权、商标权或其它知识产权而引起的法律或经济纠纷。如供应商不拥有相应的知识产权，则在响应报价中必须包括合法获取该知识产权的一切相关费用。如因此导致采购人损失的，供应商须承担全部赔偿责任。</w:t>
            </w:r>
          </w:p>
        </w:tc>
      </w:tr>
      <w:tr w14:paraId="0EB5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6" w:type="pct"/>
            <w:vAlign w:val="center"/>
          </w:tcPr>
          <w:p w14:paraId="2EB19E03">
            <w:pPr>
              <w:pStyle w:val="29"/>
              <w:pBdr>
                <w:bottom w:val="none" w:color="auto" w:sz="0" w:space="0"/>
              </w:pBdr>
              <w:tabs>
                <w:tab w:val="clear" w:pos="4153"/>
                <w:tab w:val="clear" w:pos="8306"/>
              </w:tabs>
              <w:adjustRightInd/>
              <w:spacing w:line="360" w:lineRule="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lang w:val="en-US" w:eastAsia="zh-CN"/>
              </w:rPr>
              <w:t>25</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5</w:t>
            </w:r>
          </w:p>
        </w:tc>
        <w:tc>
          <w:tcPr>
            <w:tcW w:w="1156" w:type="pct"/>
            <w:vAlign w:val="center"/>
          </w:tcPr>
          <w:p w14:paraId="0144424E">
            <w:pPr>
              <w:pStyle w:val="28"/>
              <w:widowControl w:val="0"/>
              <w:spacing w:before="0" w:beforeAutospacing="0" w:after="0" w:afterAutospacing="0" w:line="360" w:lineRule="auto"/>
              <w:jc w:val="both"/>
              <w:rPr>
                <w:rFonts w:ascii="宋体" w:hAnsi="宋体" w:eastAsia="宋体" w:cs="宋体"/>
                <w:b w:val="0"/>
                <w:color w:val="auto"/>
                <w:kern w:val="2"/>
                <w:sz w:val="24"/>
                <w:szCs w:val="24"/>
                <w:highlight w:val="none"/>
              </w:rPr>
            </w:pPr>
            <w:r>
              <w:rPr>
                <w:rFonts w:hint="eastAsia" w:ascii="宋体" w:hAnsi="宋体" w:eastAsia="宋体" w:cs="宋体"/>
                <w:b w:val="0"/>
                <w:color w:val="auto"/>
                <w:sz w:val="24"/>
                <w:highlight w:val="none"/>
                <w:lang w:eastAsia="en-US"/>
              </w:rPr>
              <w:t>其他补充说明</w:t>
            </w:r>
          </w:p>
        </w:tc>
        <w:tc>
          <w:tcPr>
            <w:tcW w:w="3287" w:type="pct"/>
            <w:vAlign w:val="center"/>
          </w:tcPr>
          <w:p w14:paraId="3E578892">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其他补充说明： </w:t>
            </w:r>
          </w:p>
          <w:p w14:paraId="603F1A31">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对证件的要求： </w:t>
            </w:r>
          </w:p>
          <w:p w14:paraId="3F24DBAE">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（1)扫描件应清晰，关键内容可以辨认；扫描件应完整，包括封面、变更页等。否则，供应商应承担因扫描件关键内容不可以辨认、采购人和磋商小组不予认可的风险。 </w:t>
            </w:r>
          </w:p>
          <w:p w14:paraId="5BEBB697">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（2)证件上的单位名称应和供应商名称相同，否则，采购人和磋商小组不予认可。 </w:t>
            </w:r>
          </w:p>
          <w:p w14:paraId="61BAA7BC">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rPr>
                <w:rFonts w:hint="default"/>
                <w:sz w:val="24"/>
                <w:szCs w:val="24"/>
                <w:highlight w:val="none"/>
                <w:lang w:val="en-US"/>
              </w:rPr>
            </w:pPr>
            <w:r>
              <w:rPr>
                <w:rFonts w:hint="eastAsia" w:ascii="宋体" w:hAnsi="宋体" w:eastAsia="宋体" w:cs="宋体"/>
                <w:bCs/>
                <w:color w:val="auto"/>
                <w:sz w:val="24"/>
                <w:szCs w:val="24"/>
                <w:highlight w:val="none"/>
                <w:lang w:val="en-US" w:eastAsia="zh-CN"/>
              </w:rPr>
              <w:t>（3)如近年来，供应商法人机构发生合法变更或法人名称变更时，应提供相关部门的合法批件或其他相关证明材料，以证明其业绩、获奖、认证等的继承性。本次投标不需提交证件原件。以响应文件中的扫描件为评审依据。</w:t>
            </w:r>
          </w:p>
        </w:tc>
      </w:tr>
    </w:tbl>
    <w:p w14:paraId="66603D57">
      <w:pPr>
        <w:spacing w:line="360" w:lineRule="auto"/>
        <w:ind w:firstLine="435"/>
        <w:rPr>
          <w:rFonts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本表是本项目的具体要求，是对供应商须知的具体补充和修改，如有不一致，以本表为准。</w:t>
      </w:r>
    </w:p>
    <w:p w14:paraId="0B632329">
      <w:pPr>
        <w:spacing w:line="360" w:lineRule="auto"/>
        <w:jc w:val="left"/>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6A5DC347">
      <w:pPr>
        <w:spacing w:line="360" w:lineRule="auto"/>
        <w:jc w:val="center"/>
        <w:outlineLvl w:val="1"/>
        <w:rPr>
          <w:rFonts w:ascii="宋体" w:hAnsi="宋体" w:eastAsia="宋体" w:cs="宋体"/>
          <w:b/>
          <w:color w:val="auto"/>
          <w:sz w:val="24"/>
          <w:highlight w:val="none"/>
        </w:rPr>
      </w:pPr>
      <w:bookmarkStart w:id="33" w:name="_Toc22697"/>
      <w:bookmarkStart w:id="34" w:name="_Toc5115"/>
      <w:bookmarkStart w:id="35" w:name="_Toc27470"/>
      <w:bookmarkStart w:id="36" w:name="_Toc14293"/>
      <w:r>
        <w:rPr>
          <w:rFonts w:hint="eastAsia" w:ascii="宋体" w:hAnsi="宋体" w:eastAsia="宋体" w:cs="宋体"/>
          <w:b/>
          <w:color w:val="auto"/>
          <w:sz w:val="24"/>
          <w:highlight w:val="none"/>
        </w:rPr>
        <w:t>二、供应商须知正文</w:t>
      </w:r>
      <w:bookmarkEnd w:id="33"/>
      <w:bookmarkEnd w:id="34"/>
      <w:bookmarkEnd w:id="35"/>
      <w:bookmarkEnd w:id="36"/>
    </w:p>
    <w:p w14:paraId="7B7CCD1F">
      <w:pPr>
        <w:autoSpaceDE w:val="0"/>
        <w:autoSpaceDN w:val="0"/>
        <w:adjustRightInd w:val="0"/>
        <w:spacing w:line="360" w:lineRule="auto"/>
        <w:ind w:firstLine="241" w:firstLineChars="100"/>
        <w:outlineLvl w:val="2"/>
        <w:rPr>
          <w:rFonts w:ascii="宋体" w:hAnsi="宋体" w:eastAsia="宋体" w:cs="宋体"/>
          <w:b/>
          <w:color w:val="auto"/>
          <w:sz w:val="24"/>
          <w:highlight w:val="none"/>
        </w:rPr>
      </w:pPr>
      <w:bookmarkStart w:id="37" w:name="_Toc29669"/>
      <w:r>
        <w:rPr>
          <w:rFonts w:hint="eastAsia" w:ascii="宋体" w:hAnsi="宋体" w:eastAsia="宋体" w:cs="宋体"/>
          <w:b/>
          <w:color w:val="auto"/>
          <w:sz w:val="24"/>
          <w:highlight w:val="none"/>
        </w:rPr>
        <w:t>1.总则</w:t>
      </w:r>
      <w:bookmarkEnd w:id="37"/>
    </w:p>
    <w:p w14:paraId="79932965">
      <w:pPr>
        <w:adjustRightInd w:val="0"/>
        <w:spacing w:line="360" w:lineRule="auto"/>
        <w:ind w:firstLine="241" w:firstLineChars="100"/>
        <w:rPr>
          <w:rFonts w:ascii="宋体" w:hAnsi="宋体" w:eastAsia="宋体" w:cs="宋体"/>
          <w:b/>
          <w:bCs/>
          <w:color w:val="auto"/>
          <w:sz w:val="24"/>
          <w:highlight w:val="none"/>
        </w:rPr>
      </w:pPr>
      <w:r>
        <w:rPr>
          <w:rFonts w:hint="eastAsia" w:ascii="宋体" w:hAnsi="宋体" w:eastAsia="宋体" w:cs="宋体"/>
          <w:b/>
          <w:bCs/>
          <w:color w:val="auto"/>
          <w:sz w:val="24"/>
          <w:highlight w:val="none"/>
        </w:rPr>
        <w:t>1.1适用范围</w:t>
      </w:r>
    </w:p>
    <w:p w14:paraId="7C9BCAD0">
      <w:pPr>
        <w:adjustRightInd w:val="0"/>
        <w:spacing w:line="360" w:lineRule="auto"/>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1.1.1本磋商文件仅适用于本次磋商所述的服务项目采购。</w:t>
      </w:r>
    </w:p>
    <w:p w14:paraId="51DE074D">
      <w:pPr>
        <w:adjustRightInd w:val="0"/>
        <w:spacing w:line="360" w:lineRule="auto"/>
        <w:ind w:firstLine="241" w:firstLineChars="100"/>
        <w:rPr>
          <w:rFonts w:ascii="宋体" w:hAnsi="宋体" w:eastAsia="宋体" w:cs="宋体"/>
          <w:b/>
          <w:bCs/>
          <w:color w:val="auto"/>
          <w:sz w:val="24"/>
          <w:highlight w:val="none"/>
        </w:rPr>
      </w:pPr>
      <w:r>
        <w:rPr>
          <w:rFonts w:hint="eastAsia" w:ascii="宋体" w:hAnsi="宋体" w:eastAsia="宋体" w:cs="宋体"/>
          <w:b/>
          <w:bCs/>
          <w:color w:val="auto"/>
          <w:sz w:val="24"/>
          <w:highlight w:val="none"/>
        </w:rPr>
        <w:t>1.2 项目概况</w:t>
      </w:r>
    </w:p>
    <w:p w14:paraId="0143EC7B">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1.2.1 根据《中华人民共和国政府采购法》《中华人民共和国政府采购法实施条例》《政府采购竞争性磋商采购方式管理暂行办法》等有关法律、法规和规章的规定，本项目已具备政府采购条件，现以竞争性磋商方式进行政府采购。</w:t>
      </w:r>
    </w:p>
    <w:p w14:paraId="66635A13">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1.2.2 采购人：见竞争性磋商公告。</w:t>
      </w:r>
    </w:p>
    <w:p w14:paraId="5A25E518">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1.2.3 采购代理机构：见竞争性磋商公告。</w:t>
      </w:r>
    </w:p>
    <w:p w14:paraId="6021956D">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1.2.4 采购项目名称：见竞争性磋商公告。</w:t>
      </w:r>
    </w:p>
    <w:p w14:paraId="1D8FAB7F">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1.2.5 包别划分：见供应商须知前附表。项目有分包的，供应商可参与其中某一个或多个分包的磋商，成交包数详见供应商须知前附表中规定。</w:t>
      </w:r>
    </w:p>
    <w:p w14:paraId="10B5ACF1">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1.2.6 采购预算：见竞争性磋商公告。</w:t>
      </w:r>
    </w:p>
    <w:p w14:paraId="79F3033A">
      <w:pPr>
        <w:adjustRightInd w:val="0"/>
        <w:spacing w:line="360" w:lineRule="auto"/>
        <w:ind w:firstLine="241" w:firstLineChars="100"/>
        <w:rPr>
          <w:rFonts w:ascii="宋体" w:hAnsi="宋体" w:eastAsia="宋体" w:cs="宋体"/>
          <w:b/>
          <w:bCs/>
          <w:color w:val="auto"/>
          <w:sz w:val="24"/>
          <w:highlight w:val="none"/>
        </w:rPr>
      </w:pPr>
      <w:bookmarkStart w:id="38" w:name="_Toc455587034"/>
      <w:bookmarkStart w:id="39" w:name="_Toc455587218"/>
      <w:bookmarkStart w:id="40" w:name="_Toc445554690"/>
      <w:bookmarkStart w:id="41" w:name="_Toc458504820"/>
      <w:bookmarkStart w:id="42" w:name="_Toc466024502"/>
      <w:r>
        <w:rPr>
          <w:rFonts w:hint="eastAsia" w:ascii="宋体" w:hAnsi="宋体" w:eastAsia="宋体" w:cs="宋体"/>
          <w:b/>
          <w:bCs/>
          <w:color w:val="auto"/>
          <w:sz w:val="24"/>
          <w:highlight w:val="none"/>
        </w:rPr>
        <w:t>1.3 采购需求、服务期限、服务地点和质量要求</w:t>
      </w:r>
      <w:bookmarkEnd w:id="38"/>
      <w:bookmarkEnd w:id="39"/>
      <w:bookmarkEnd w:id="40"/>
      <w:bookmarkEnd w:id="41"/>
      <w:bookmarkEnd w:id="42"/>
    </w:p>
    <w:p w14:paraId="02830998">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1.3.1 采购需求：见第三章采购需求。</w:t>
      </w:r>
    </w:p>
    <w:p w14:paraId="55421E20">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1.3.2 服务期限和服务地点：见第三章采购需求。</w:t>
      </w:r>
    </w:p>
    <w:p w14:paraId="2959CDC9">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1.3.3付款方式：见第三章采购需求。</w:t>
      </w:r>
    </w:p>
    <w:p w14:paraId="35BAEF22">
      <w:pPr>
        <w:adjustRightInd w:val="0"/>
        <w:spacing w:line="360" w:lineRule="auto"/>
        <w:ind w:firstLine="241" w:firstLineChars="100"/>
        <w:rPr>
          <w:rFonts w:ascii="宋体" w:hAnsi="宋体" w:eastAsia="宋体" w:cs="宋体"/>
          <w:b/>
          <w:bCs/>
          <w:color w:val="auto"/>
          <w:sz w:val="24"/>
          <w:highlight w:val="none"/>
        </w:rPr>
      </w:pPr>
      <w:bookmarkStart w:id="43" w:name="_Toc455587035"/>
      <w:bookmarkStart w:id="44" w:name="_Toc333587857"/>
      <w:bookmarkStart w:id="45" w:name="_Toc333599663"/>
      <w:bookmarkStart w:id="46" w:name="_Toc338943704"/>
      <w:bookmarkStart w:id="47" w:name="_Toc152045534"/>
      <w:bookmarkStart w:id="48" w:name="_Toc342294718"/>
      <w:bookmarkStart w:id="49" w:name="_Toc338944609"/>
      <w:bookmarkStart w:id="50" w:name="_Toc445554692"/>
      <w:bookmarkStart w:id="51" w:name="_Toc342296166"/>
      <w:bookmarkStart w:id="52" w:name="_Toc152042310"/>
      <w:bookmarkStart w:id="53" w:name="_Toc342297623"/>
      <w:bookmarkStart w:id="54" w:name="_Toc466024503"/>
      <w:bookmarkStart w:id="55" w:name="_Toc455587219"/>
      <w:bookmarkStart w:id="56" w:name="_Toc458504821"/>
      <w:bookmarkStart w:id="57" w:name="_Toc179632551"/>
      <w:bookmarkStart w:id="58" w:name="_Toc144974502"/>
      <w:bookmarkStart w:id="59" w:name="_Toc333600687"/>
      <w:bookmarkStart w:id="60" w:name="_Toc371415924"/>
      <w:r>
        <w:rPr>
          <w:rFonts w:hint="eastAsia" w:ascii="宋体" w:hAnsi="宋体" w:eastAsia="宋体" w:cs="宋体"/>
          <w:b/>
          <w:bCs/>
          <w:color w:val="auto"/>
          <w:sz w:val="24"/>
          <w:highlight w:val="none"/>
        </w:rPr>
        <w:t>1.4 供应商资格要求</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4A3D325">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1.4.1 供应商应具备承担本采购项目的资质条件、能力和信誉：见竞争性磋商公告。</w:t>
      </w:r>
    </w:p>
    <w:p w14:paraId="4158B49A">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1.4.2 供应商须知前附表规定接受联合体响应的，除应符合本章第1.4.1项和供应商须知前附表的要求外，还应遵守以下规定：</w:t>
      </w:r>
    </w:p>
    <w:p w14:paraId="7ECCD898">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（1）联合体各方应按竞争性磋商文件提供的格式签订联合体协议书，明确联合体牵头人和各方权利义务，并</w:t>
      </w:r>
      <w:r>
        <w:rPr>
          <w:rFonts w:hint="eastAsia" w:ascii="宋体" w:hAnsi="宋体" w:eastAsia="宋体" w:cs="宋体"/>
          <w:b/>
          <w:bCs/>
          <w:color w:val="auto"/>
          <w:sz w:val="24"/>
          <w:highlight w:val="none"/>
        </w:rPr>
        <w:t>承诺</w:t>
      </w:r>
      <w:r>
        <w:rPr>
          <w:rFonts w:hint="eastAsia" w:ascii="宋体" w:hAnsi="宋体" w:eastAsia="宋体" w:cs="宋体"/>
          <w:color w:val="auto"/>
          <w:sz w:val="24"/>
          <w:highlight w:val="none"/>
        </w:rPr>
        <w:t>就成交项目向采购人承担连带责任；</w:t>
      </w:r>
    </w:p>
    <w:p w14:paraId="036BD4D3">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（2）由同一专业的单位组成的联合体，按照资质等级较低的单位确定资质等级；</w:t>
      </w:r>
    </w:p>
    <w:p w14:paraId="4B60ACF2">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（3）以联合体形式参加采购活动的，联合体各方不得再单独参加或者与其他供应商另外组成联合体参加同一标包的政府采购活动；</w:t>
      </w:r>
    </w:p>
    <w:p w14:paraId="6F184513">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4）联合体各方应分别按照本竞争性磋商文件的要求，填写响应文件中的相应表格，并由联合体牵头人负责对联合体各成员的资料进行统一汇总后一并提交给采购人；联合体牵头人所提交的响应文件应认为已代表了联合体各成员的真实情况；</w:t>
      </w:r>
    </w:p>
    <w:p w14:paraId="577C5902">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（5）尽管委任了联合体牵头人，但联合体各成员在参加采购活动、签订合同与履行合同过程中，仍负有连带的和各自的法律责任。</w:t>
      </w:r>
    </w:p>
    <w:p w14:paraId="70EFD457">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1.4.3 供应商（包括联合体各成员）不得存在下列情形之一：</w:t>
      </w:r>
    </w:p>
    <w:p w14:paraId="43E2ED08">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（1）为本采购项目的采购代理机构；</w:t>
      </w:r>
    </w:p>
    <w:p w14:paraId="0C6A7217">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（2）为采购人不具有独立法人资格的附属机构；</w:t>
      </w:r>
    </w:p>
    <w:p w14:paraId="2912E790">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（3）与采购人存在利害关系且可能影响采购公正性；</w:t>
      </w:r>
    </w:p>
    <w:p w14:paraId="6F92863D">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（4）由本采购项目采购代理机构代理参加政府采购活动，或者接受过本采购项目的采购代理机构为本采购项目提供咨询的；</w:t>
      </w:r>
    </w:p>
    <w:p w14:paraId="4A3BB644">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（5）被责令停产停业、暂扣或者吊销许可证、暂扣或者吊销执照；</w:t>
      </w:r>
    </w:p>
    <w:p w14:paraId="7F9E40F3">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（6）进入清算程序，或被宣告破产，或其他丧失履约能力的情形；</w:t>
      </w:r>
    </w:p>
    <w:p w14:paraId="676A10E5">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（7）与本项目其他供应商的单位负责人为同一人或者存在直接控股、管理关系的不同供应商；</w:t>
      </w:r>
    </w:p>
    <w:p w14:paraId="25377C3B">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（8）被依法禁止参加政府采购活动并在有效期内的；</w:t>
      </w:r>
    </w:p>
    <w:p w14:paraId="72E9995D">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9）为本采购项目提供整体设计、规范编制或者项目管理、监理、检测等服务的供应商，不得再参加该采购项目的其他采购活动，具体按《关于〈中华人民共和国政府采购法实施条例〉第十八条第二款法律适用的函》（财办库〔2015〕295号）文件规定；</w:t>
      </w:r>
    </w:p>
    <w:p w14:paraId="4D688DDF">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（10）被人民法院列入失信被执行人名单的；</w:t>
      </w:r>
    </w:p>
    <w:p w14:paraId="31DE72B5">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（11）被税务机关列入重大税收违法失信主体名单的；</w:t>
      </w:r>
    </w:p>
    <w:p w14:paraId="3F450CC1">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（12）被财政部门列入政府采购严重违法失信行为记录名单的；</w:t>
      </w:r>
    </w:p>
    <w:p w14:paraId="4E2972A6">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（13）被市场监督管理部门列入严重违法失信名单的；</w:t>
      </w:r>
    </w:p>
    <w:p w14:paraId="27CD7120">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（14）法律法规规定的其他情形；</w:t>
      </w:r>
    </w:p>
    <w:p w14:paraId="7ACC6C99">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（15）供应商须知前附表规定的其他情形。</w:t>
      </w:r>
    </w:p>
    <w:p w14:paraId="7FCCC094">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以联合体方式参加采购活动的，联合体任一成员不得存在以上情形。</w:t>
      </w:r>
    </w:p>
    <w:p w14:paraId="4C9013D7">
      <w:pPr>
        <w:adjustRightInd w:val="0"/>
        <w:spacing w:line="360" w:lineRule="auto"/>
        <w:ind w:firstLine="241" w:firstLineChars="100"/>
        <w:rPr>
          <w:rFonts w:ascii="宋体" w:hAnsi="宋体" w:eastAsia="宋体" w:cs="宋体"/>
          <w:b/>
          <w:bCs/>
          <w:color w:val="auto"/>
          <w:sz w:val="24"/>
          <w:highlight w:val="none"/>
        </w:rPr>
      </w:pPr>
      <w:bookmarkStart w:id="61" w:name="_Toc445554693"/>
      <w:bookmarkStart w:id="62" w:name="_Toc455587036"/>
      <w:bookmarkStart w:id="63" w:name="_Toc371415925"/>
      <w:bookmarkStart w:id="64" w:name="_Toc466024504"/>
      <w:bookmarkStart w:id="65" w:name="_Toc455587220"/>
      <w:bookmarkStart w:id="66" w:name="_Toc458504822"/>
      <w:r>
        <w:rPr>
          <w:rFonts w:hint="eastAsia" w:ascii="宋体" w:hAnsi="宋体" w:eastAsia="宋体" w:cs="宋体"/>
          <w:b/>
          <w:bCs/>
          <w:color w:val="auto"/>
          <w:sz w:val="24"/>
          <w:highlight w:val="none"/>
        </w:rPr>
        <w:t>1.5 费用承担</w:t>
      </w:r>
      <w:bookmarkEnd w:id="61"/>
      <w:bookmarkEnd w:id="62"/>
      <w:bookmarkEnd w:id="63"/>
      <w:bookmarkEnd w:id="64"/>
      <w:bookmarkEnd w:id="65"/>
      <w:bookmarkEnd w:id="66"/>
    </w:p>
    <w:p w14:paraId="6613F677">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供应商准备和参加采购活动发生的费用自理。</w:t>
      </w:r>
    </w:p>
    <w:p w14:paraId="143D1463">
      <w:pPr>
        <w:adjustRightInd w:val="0"/>
        <w:spacing w:line="360" w:lineRule="auto"/>
        <w:ind w:firstLine="241" w:firstLineChars="100"/>
        <w:rPr>
          <w:rFonts w:ascii="宋体" w:hAnsi="宋体" w:eastAsia="宋体" w:cs="宋体"/>
          <w:b/>
          <w:bCs/>
          <w:color w:val="auto"/>
          <w:sz w:val="24"/>
          <w:highlight w:val="none"/>
        </w:rPr>
      </w:pPr>
      <w:bookmarkStart w:id="67" w:name="_Toc458504824"/>
      <w:bookmarkStart w:id="68" w:name="_Toc455587222"/>
      <w:bookmarkStart w:id="69" w:name="_Toc445554695"/>
      <w:bookmarkStart w:id="70" w:name="_Toc455587038"/>
      <w:bookmarkStart w:id="71" w:name="_Toc466024506"/>
      <w:r>
        <w:rPr>
          <w:rFonts w:hint="eastAsia" w:ascii="宋体" w:hAnsi="宋体" w:eastAsia="宋体" w:cs="宋体"/>
          <w:b/>
          <w:bCs/>
          <w:color w:val="auto"/>
          <w:sz w:val="24"/>
          <w:highlight w:val="none"/>
        </w:rPr>
        <w:t>1.6 语言文字</w:t>
      </w:r>
      <w:bookmarkEnd w:id="67"/>
      <w:bookmarkEnd w:id="68"/>
      <w:bookmarkEnd w:id="69"/>
      <w:bookmarkEnd w:id="70"/>
      <w:bookmarkEnd w:id="71"/>
    </w:p>
    <w:p w14:paraId="28A8130A">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除专用术语外，与竞争性磋商有关的语言均应当使用中文。必要时专用术语应附有中文注释。</w:t>
      </w:r>
    </w:p>
    <w:p w14:paraId="5A123189">
      <w:pPr>
        <w:adjustRightInd w:val="0"/>
        <w:spacing w:line="360" w:lineRule="auto"/>
        <w:ind w:firstLine="241" w:firstLineChars="100"/>
        <w:rPr>
          <w:rFonts w:ascii="宋体" w:hAnsi="宋体" w:eastAsia="宋体" w:cs="宋体"/>
          <w:b/>
          <w:bCs/>
          <w:color w:val="auto"/>
          <w:sz w:val="24"/>
          <w:highlight w:val="none"/>
        </w:rPr>
      </w:pPr>
      <w:bookmarkStart w:id="72" w:name="_Toc179632555"/>
      <w:bookmarkStart w:id="73" w:name="_Toc144974506"/>
      <w:bookmarkStart w:id="74" w:name="_Toc458504825"/>
      <w:bookmarkStart w:id="75" w:name="_Toc333599667"/>
      <w:bookmarkStart w:id="76" w:name="_Toc342296170"/>
      <w:bookmarkStart w:id="77" w:name="_Toc445554696"/>
      <w:bookmarkStart w:id="78" w:name="_Toc333600691"/>
      <w:bookmarkStart w:id="79" w:name="_Toc455587039"/>
      <w:bookmarkStart w:id="80" w:name="_Toc152045538"/>
      <w:bookmarkStart w:id="81" w:name="_Toc455587223"/>
      <w:bookmarkStart w:id="82" w:name="_Toc466024507"/>
      <w:bookmarkStart w:id="83" w:name="_Toc342297627"/>
      <w:bookmarkStart w:id="84" w:name="_Toc333587861"/>
      <w:bookmarkStart w:id="85" w:name="_Toc152042314"/>
      <w:bookmarkStart w:id="86" w:name="_Toc338944613"/>
      <w:bookmarkStart w:id="87" w:name="_Toc342294722"/>
      <w:bookmarkStart w:id="88" w:name="_Toc338943708"/>
      <w:bookmarkStart w:id="89" w:name="_Toc371415926"/>
      <w:r>
        <w:rPr>
          <w:rFonts w:hint="eastAsia" w:ascii="宋体" w:hAnsi="宋体" w:eastAsia="宋体" w:cs="宋体"/>
          <w:b/>
          <w:bCs/>
          <w:color w:val="auto"/>
          <w:sz w:val="24"/>
          <w:highlight w:val="none"/>
        </w:rPr>
        <w:t xml:space="preserve">1.7 </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Pr>
          <w:rFonts w:hint="eastAsia" w:ascii="宋体" w:hAnsi="宋体" w:eastAsia="宋体" w:cs="宋体"/>
          <w:b/>
          <w:bCs/>
          <w:color w:val="auto"/>
          <w:sz w:val="24"/>
          <w:highlight w:val="none"/>
        </w:rPr>
        <w:t>响应文件中标准和计量单位的使用</w:t>
      </w:r>
    </w:p>
    <w:p w14:paraId="21AEF893">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1.7.1无论磋商文件中是否要求，供应商所投服务及伴随的货物和工程均应符合国家强制性标准。</w:t>
      </w:r>
    </w:p>
    <w:p w14:paraId="3C31C29F">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1.7.2供应商与采购代理机构之间与磋商有关的所有往来通知、函件和响应文件均用中文表述。供应商随响应文件提供的证明文件和资料可以为其它语言， 但必须附中文译文。翻译的中文资料与外文资料如果出现差异时，以中文为准。</w:t>
      </w:r>
    </w:p>
    <w:p w14:paraId="5AFB3DDA">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1.7.3除磋商文件中有特殊要求外，响应文件中所使用的计量单位，应采用中华人民共和国法定计量单位。</w:t>
      </w:r>
    </w:p>
    <w:p w14:paraId="368F0A79">
      <w:pPr>
        <w:adjustRightInd w:val="0"/>
        <w:spacing w:line="360" w:lineRule="auto"/>
        <w:ind w:firstLine="241" w:firstLineChars="100"/>
        <w:rPr>
          <w:rFonts w:ascii="宋体" w:hAnsi="宋体" w:eastAsia="宋体" w:cs="宋体"/>
          <w:b/>
          <w:bCs/>
          <w:color w:val="auto"/>
          <w:sz w:val="24"/>
          <w:highlight w:val="none"/>
        </w:rPr>
      </w:pPr>
      <w:r>
        <w:rPr>
          <w:rFonts w:hint="eastAsia" w:ascii="宋体" w:hAnsi="宋体" w:eastAsia="宋体" w:cs="宋体"/>
          <w:b/>
          <w:bCs/>
          <w:color w:val="auto"/>
          <w:sz w:val="24"/>
          <w:highlight w:val="none"/>
        </w:rPr>
        <w:t>1.8 现场考察</w:t>
      </w:r>
    </w:p>
    <w:p w14:paraId="5890EA85">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1.8.1 供应商须知前附表规定组织现场考察的，采购人按供应商须知前附表规定的时间、地点组织供应商现场考察。采购人不组织统一现场考察的，由供应商自行考察现场。</w:t>
      </w:r>
    </w:p>
    <w:p w14:paraId="075D8B31">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1.8.2 供应商现场考察发生的费用自理。</w:t>
      </w:r>
    </w:p>
    <w:p w14:paraId="3964EC99">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1.8.3 除采购人的原因外，供应商自行负责在现场考察中所发生的人员伤亡和财产损失。</w:t>
      </w:r>
    </w:p>
    <w:p w14:paraId="373E869B">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1.8.4 采购人在现场考察中介绍的现场情况和周边相关的环境情况，仅作为供应商在编制响应文件时参考，采购人不对供应商据此作出的判断和决策负责。</w:t>
      </w:r>
    </w:p>
    <w:p w14:paraId="73E40394">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1.8.5 除非有特殊要求，竞争性磋商文件不单独提供供货使用地的自然环境、气候条件、公用设施等情况，供应商被视为熟悉上述与履行合同有关的一切情况。</w:t>
      </w:r>
    </w:p>
    <w:p w14:paraId="68A741E1">
      <w:pPr>
        <w:adjustRightInd w:val="0"/>
        <w:spacing w:line="360" w:lineRule="auto"/>
        <w:ind w:firstLine="241" w:firstLineChars="100"/>
        <w:rPr>
          <w:rFonts w:ascii="宋体" w:hAnsi="宋体" w:eastAsia="宋体" w:cs="宋体"/>
          <w:b/>
          <w:bCs/>
          <w:color w:val="auto"/>
          <w:sz w:val="24"/>
          <w:highlight w:val="none"/>
        </w:rPr>
      </w:pPr>
      <w:bookmarkStart w:id="90" w:name="_Toc445554698"/>
      <w:bookmarkStart w:id="91" w:name="_Toc466024509"/>
      <w:bookmarkStart w:id="92" w:name="_Toc455587041"/>
      <w:bookmarkStart w:id="93" w:name="_Toc458504827"/>
      <w:bookmarkStart w:id="94" w:name="_Toc455587225"/>
      <w:r>
        <w:rPr>
          <w:rFonts w:hint="eastAsia" w:ascii="宋体" w:hAnsi="宋体" w:eastAsia="宋体" w:cs="宋体"/>
          <w:b/>
          <w:bCs/>
          <w:color w:val="auto"/>
          <w:sz w:val="24"/>
          <w:highlight w:val="none"/>
        </w:rPr>
        <w:t>1.</w:t>
      </w:r>
      <w:bookmarkEnd w:id="90"/>
      <w:bookmarkEnd w:id="91"/>
      <w:bookmarkEnd w:id="92"/>
      <w:bookmarkEnd w:id="93"/>
      <w:bookmarkEnd w:id="94"/>
      <w:r>
        <w:rPr>
          <w:rFonts w:hint="eastAsia" w:ascii="宋体" w:hAnsi="宋体" w:eastAsia="宋体" w:cs="宋体"/>
          <w:b/>
          <w:bCs/>
          <w:color w:val="auto"/>
          <w:sz w:val="24"/>
          <w:highlight w:val="none"/>
        </w:rPr>
        <w:t>9 分包</w:t>
      </w:r>
    </w:p>
    <w:p w14:paraId="41FFC77A">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1.9.1 供应商拟在成交后将成交项目的非主体、非关键性工作进行分包的，应符合供应商须知前附表规定的分包内容、分包金额，分包承担主体应当具备相应资质条件且不得再次分包，除供应商须知前附表规定的非主体、非关键性工作外，其他工作不得分包。 </w:t>
      </w:r>
    </w:p>
    <w:p w14:paraId="1B946AAD">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1.9.2 成交供应商不得向他人转让成交项目。成交供应商应当就分包项目向采购人负责，分包承担主体就分包项目承担连带责任。</w:t>
      </w:r>
    </w:p>
    <w:p w14:paraId="6C284507">
      <w:pPr>
        <w:autoSpaceDE w:val="0"/>
        <w:autoSpaceDN w:val="0"/>
        <w:adjustRightInd w:val="0"/>
        <w:spacing w:line="360" w:lineRule="auto"/>
        <w:ind w:firstLine="241" w:firstLineChars="100"/>
        <w:outlineLvl w:val="2"/>
        <w:rPr>
          <w:rFonts w:ascii="宋体" w:hAnsi="宋体" w:eastAsia="宋体" w:cs="宋体"/>
          <w:b/>
          <w:color w:val="auto"/>
          <w:sz w:val="24"/>
          <w:highlight w:val="none"/>
        </w:rPr>
      </w:pPr>
      <w:bookmarkStart w:id="95" w:name="_Toc28835"/>
      <w:r>
        <w:rPr>
          <w:rFonts w:hint="eastAsia" w:ascii="宋体" w:hAnsi="宋体" w:eastAsia="宋体" w:cs="宋体"/>
          <w:b/>
          <w:color w:val="auto"/>
          <w:sz w:val="24"/>
          <w:highlight w:val="none"/>
        </w:rPr>
        <w:t>2.定义</w:t>
      </w:r>
      <w:bookmarkEnd w:id="95"/>
    </w:p>
    <w:p w14:paraId="0765977A">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2.1服务：系指成交供应商根据合同约定应向采购人履行的除货物和工程以外的其他政府采购对象，包括采购人自身需要的服务和向社会公众提供的公共服务。</w:t>
      </w:r>
    </w:p>
    <w:p w14:paraId="19409818">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2.2时限（年份、月份等）计算：系指从磋商之日向前追溯 X 年/月（“X” 为“一”及以后整数）起算。</w:t>
      </w:r>
    </w:p>
    <w:p w14:paraId="59F127BC">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2.3业绩：除非本磋商文件中另有规定，业绩系指符合本磋商文件规定的与最终用户签订的合同。供应商与其关联公司（如母公司、控股公司、分公司、子公司、同一法定代表人的公司等）之间签订的合同，均不予认可。</w:t>
      </w:r>
    </w:p>
    <w:p w14:paraId="06E6E71F">
      <w:pPr>
        <w:widowControl/>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除非本磋商文件中另有规定，否则业绩均为已服务完毕的业绩，业绩时间均以合同签订之日为追溯节点。</w:t>
      </w:r>
    </w:p>
    <w:p w14:paraId="7787D7FC">
      <w:pPr>
        <w:autoSpaceDE w:val="0"/>
        <w:autoSpaceDN w:val="0"/>
        <w:adjustRightInd w:val="0"/>
        <w:spacing w:line="360" w:lineRule="auto"/>
        <w:ind w:firstLine="241" w:firstLineChars="100"/>
        <w:outlineLvl w:val="2"/>
        <w:rPr>
          <w:rFonts w:ascii="宋体" w:hAnsi="宋体" w:eastAsia="宋体" w:cs="宋体"/>
          <w:b/>
          <w:color w:val="auto"/>
          <w:sz w:val="24"/>
          <w:highlight w:val="none"/>
        </w:rPr>
      </w:pPr>
      <w:bookmarkStart w:id="96" w:name="_Toc7560"/>
      <w:r>
        <w:rPr>
          <w:rFonts w:hint="eastAsia" w:ascii="宋体" w:hAnsi="宋体" w:eastAsia="宋体" w:cs="宋体"/>
          <w:b/>
          <w:color w:val="auto"/>
          <w:sz w:val="24"/>
          <w:highlight w:val="none"/>
        </w:rPr>
        <w:t>3.采购人、采购代理机构及供应商</w:t>
      </w:r>
      <w:bookmarkEnd w:id="96"/>
    </w:p>
    <w:p w14:paraId="12D41D17">
      <w:pPr>
        <w:spacing w:line="360" w:lineRule="auto"/>
        <w:ind w:firstLine="435"/>
        <w:rPr>
          <w:rFonts w:ascii="宋体" w:hAnsi="宋体" w:eastAsia="宋体" w:cs="宋体"/>
          <w:color w:val="auto"/>
          <w:sz w:val="24"/>
          <w:highlight w:val="none"/>
        </w:rPr>
      </w:pPr>
      <w:r>
        <w:rPr>
          <w:rFonts w:hint="eastAsia" w:ascii="宋体" w:hAnsi="宋体" w:eastAsia="宋体" w:cs="宋体"/>
          <w:b/>
          <w:bCs/>
          <w:color w:val="auto"/>
          <w:sz w:val="24"/>
          <w:highlight w:val="none"/>
        </w:rPr>
        <w:t>3.1采购人：</w:t>
      </w:r>
      <w:r>
        <w:rPr>
          <w:rFonts w:hint="eastAsia" w:ascii="宋体" w:hAnsi="宋体" w:eastAsia="宋体" w:cs="宋体"/>
          <w:color w:val="auto"/>
          <w:sz w:val="24"/>
          <w:highlight w:val="none"/>
        </w:rPr>
        <w:t>是指依法开展政府采购活动的国家机关、事业单位、团体组织。</w:t>
      </w:r>
    </w:p>
    <w:p w14:paraId="6522C4EC">
      <w:pPr>
        <w:spacing w:line="360" w:lineRule="auto"/>
        <w:ind w:firstLine="435"/>
        <w:rPr>
          <w:rFonts w:ascii="宋体" w:hAnsi="宋体" w:eastAsia="宋体" w:cs="宋体"/>
          <w:color w:val="auto"/>
          <w:sz w:val="24"/>
          <w:highlight w:val="none"/>
        </w:rPr>
      </w:pPr>
      <w:r>
        <w:rPr>
          <w:rFonts w:hint="eastAsia" w:ascii="宋体" w:hAnsi="宋体" w:eastAsia="宋体" w:cs="宋体"/>
          <w:b/>
          <w:bCs/>
          <w:color w:val="auto"/>
          <w:sz w:val="24"/>
          <w:highlight w:val="none"/>
        </w:rPr>
        <w:t>3.2采购代理机构：</w:t>
      </w:r>
      <w:r>
        <w:rPr>
          <w:rFonts w:hint="eastAsia" w:ascii="宋体" w:hAnsi="宋体" w:eastAsia="宋体" w:cs="宋体"/>
          <w:color w:val="auto"/>
          <w:sz w:val="24"/>
          <w:highlight w:val="none"/>
        </w:rPr>
        <w:t>是指集中采购机构或从事采购代理业务的社会中介机构。</w:t>
      </w:r>
    </w:p>
    <w:p w14:paraId="41EB884A">
      <w:pPr>
        <w:spacing w:line="360" w:lineRule="auto"/>
        <w:ind w:firstLine="435"/>
        <w:rPr>
          <w:rFonts w:ascii="宋体" w:hAnsi="宋体" w:eastAsia="宋体" w:cs="宋体"/>
          <w:color w:val="auto"/>
          <w:sz w:val="24"/>
          <w:highlight w:val="none"/>
        </w:rPr>
      </w:pPr>
      <w:r>
        <w:rPr>
          <w:rFonts w:hint="eastAsia" w:ascii="宋体" w:hAnsi="宋体" w:eastAsia="宋体" w:cs="宋体"/>
          <w:b/>
          <w:bCs/>
          <w:color w:val="auto"/>
          <w:sz w:val="24"/>
          <w:highlight w:val="none"/>
        </w:rPr>
        <w:t>3.3采购监督管理部门：</w:t>
      </w:r>
      <w:r>
        <w:rPr>
          <w:rFonts w:hint="default" w:ascii="Times New Roman" w:hAnsi="Times New Roman" w:eastAsia="宋体" w:cs="Times New Roman"/>
          <w:color w:val="auto"/>
          <w:sz w:val="24"/>
          <w:highlight w:val="none"/>
        </w:rPr>
        <w:t>依法履行与</w:t>
      </w:r>
      <w:r>
        <w:rPr>
          <w:rFonts w:hint="default" w:ascii="Times New Roman" w:hAnsi="Times New Roman" w:eastAsia="宋体" w:cs="Times New Roman"/>
          <w:color w:val="auto"/>
          <w:sz w:val="24"/>
          <w:highlight w:val="none"/>
          <w:lang w:val="en-US" w:eastAsia="zh-CN"/>
        </w:rPr>
        <w:t>本次</w:t>
      </w:r>
      <w:r>
        <w:rPr>
          <w:rFonts w:hint="default" w:ascii="Times New Roman" w:hAnsi="Times New Roman" w:eastAsia="宋体" w:cs="Times New Roman"/>
          <w:color w:val="auto"/>
          <w:sz w:val="24"/>
          <w:highlight w:val="none"/>
        </w:rPr>
        <w:t>采购活动有关的监督管理职责。本项目的采购监督管理部门</w:t>
      </w:r>
      <w:r>
        <w:rPr>
          <w:rFonts w:hint="default" w:ascii="Times New Roman" w:hAnsi="Times New Roman" w:eastAsia="宋体" w:cs="Times New Roman"/>
          <w:color w:val="auto"/>
          <w:sz w:val="24"/>
          <w:highlight w:val="none"/>
          <w:u w:val="single"/>
        </w:rPr>
        <w:t>见供应商须知前附表</w:t>
      </w:r>
      <w:r>
        <w:rPr>
          <w:rFonts w:hint="default" w:ascii="Times New Roman" w:hAnsi="Times New Roman" w:eastAsia="宋体" w:cs="Times New Roman"/>
          <w:color w:val="auto"/>
          <w:sz w:val="24"/>
          <w:highlight w:val="none"/>
        </w:rPr>
        <w:t>。</w:t>
      </w:r>
    </w:p>
    <w:p w14:paraId="1B2D0401">
      <w:pPr>
        <w:spacing w:line="360" w:lineRule="auto"/>
        <w:ind w:firstLine="435"/>
        <w:rPr>
          <w:rFonts w:ascii="宋体" w:hAnsi="宋体" w:eastAsia="宋体" w:cs="宋体"/>
          <w:color w:val="auto"/>
          <w:sz w:val="24"/>
          <w:highlight w:val="none"/>
        </w:rPr>
      </w:pPr>
      <w:r>
        <w:rPr>
          <w:rFonts w:hint="eastAsia" w:ascii="宋体" w:hAnsi="宋体" w:eastAsia="宋体" w:cs="宋体"/>
          <w:b/>
          <w:bCs/>
          <w:color w:val="auto"/>
          <w:sz w:val="24"/>
          <w:highlight w:val="none"/>
        </w:rPr>
        <w:t>3.4供应商：</w:t>
      </w:r>
      <w:r>
        <w:rPr>
          <w:rFonts w:hint="eastAsia" w:ascii="宋体" w:hAnsi="宋体" w:eastAsia="宋体" w:cs="宋体"/>
          <w:color w:val="auto"/>
          <w:sz w:val="24"/>
          <w:highlight w:val="none"/>
        </w:rPr>
        <w:t>是指向采购人提供货物、工程或者服务的法人、其他组织或者自然人。分支机构不得参加政府采购活动，但银行、保险、石油石化、电力、电信等特殊行业除外。本项目的供应商须满足以下条件：</w:t>
      </w:r>
    </w:p>
    <w:p w14:paraId="5E0F16D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3.4.1具备《中华人民共和国政府采购法》第二十二条关于供应商条件的规定，遵守本项目采购人本级和上级财政部门政府采购的有关规定。</w:t>
      </w:r>
    </w:p>
    <w:p w14:paraId="4A30657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3.4.2以采购代理机构认可的方式获得了本项目的磋商文件。</w:t>
      </w:r>
    </w:p>
    <w:p w14:paraId="11ECD114">
      <w:pPr>
        <w:spacing w:line="360" w:lineRule="auto"/>
        <w:ind w:firstLine="435"/>
        <w:rPr>
          <w:rFonts w:hint="default" w:ascii="宋体" w:hAnsi="宋体" w:eastAsia="宋体" w:cs="宋体"/>
          <w:bCs/>
          <w:color w:val="auto"/>
          <w:kern w:val="0"/>
          <w:sz w:val="24"/>
          <w:szCs w:val="28"/>
          <w:highlight w:val="none"/>
          <w:lang w:val="en-US" w:eastAsia="zh-CN"/>
        </w:rPr>
      </w:pPr>
      <w:r>
        <w:rPr>
          <w:rFonts w:hint="eastAsia" w:ascii="宋体" w:hAnsi="宋体" w:eastAsia="宋体" w:cs="宋体"/>
          <w:bCs/>
          <w:color w:val="auto"/>
          <w:kern w:val="0"/>
          <w:sz w:val="24"/>
          <w:szCs w:val="28"/>
          <w:highlight w:val="none"/>
          <w:lang w:val="en-US" w:eastAsia="zh-CN"/>
        </w:rPr>
        <w:t>3.4.3若供应商为非法人单位，则响应文件中法定代表人处的签署人可为单位负责人（其他表述参照执行，需与相关证照上内容一致）。</w:t>
      </w:r>
    </w:p>
    <w:p w14:paraId="736F1634">
      <w:pPr>
        <w:spacing w:line="360" w:lineRule="auto"/>
        <w:ind w:firstLine="435"/>
        <w:rPr>
          <w:rFonts w:ascii="宋体" w:hAnsi="宋体" w:eastAsia="宋体" w:cs="宋体"/>
          <w:color w:val="auto"/>
          <w:sz w:val="24"/>
          <w:highlight w:val="none"/>
        </w:rPr>
      </w:pPr>
      <w:r>
        <w:rPr>
          <w:rFonts w:hint="eastAsia" w:ascii="宋体" w:hAnsi="宋体" w:eastAsia="宋体" w:cs="宋体"/>
          <w:bCs/>
          <w:color w:val="auto"/>
          <w:kern w:val="0"/>
          <w:sz w:val="24"/>
          <w:szCs w:val="28"/>
          <w:highlight w:val="none"/>
        </w:rPr>
        <w:t>3.5若竞争性磋商公告中允许联合体参加磋商，对联合体规定如下：</w:t>
      </w:r>
    </w:p>
    <w:p w14:paraId="29DC147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3.5.1两个以上供应商可以组成一个磋商联合体，以一个供应商的身份磋商。联合体参加磋商的，磋商文件获取手续由联合体中任一成员单位办理均可。</w:t>
      </w:r>
    </w:p>
    <w:p w14:paraId="249D4D4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3.5.2联合体各方均应符合《中华人民共和国政府采购法》第二十二条规定的条件。</w:t>
      </w:r>
    </w:p>
    <w:p w14:paraId="58D69AF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3.5.3采购人根据采购项目对供应商的特殊要求，联合体中至少应当有一方符合相关规定。</w:t>
      </w:r>
    </w:p>
    <w:p w14:paraId="635477C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3.5.4联合体各方应签订联合协议，明确约定联合体各方承担的工作和相应的责任，并将联合协议作为响应文件的一部分提交。</w:t>
      </w:r>
    </w:p>
    <w:p w14:paraId="7BC6A65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3.5.5联合体中有同类资质的供应商按照联合体分工承担相同工作的，应当按照资质等级较低的供应商确定资质等级。</w:t>
      </w:r>
    </w:p>
    <w:p w14:paraId="6DA6AB9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3.5.</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以联合体形式参加政府采购活动的，联合体各方不得再单独参加或者与其他供应商另外组成联合体参加本项目磋商，否则相关响应文件将被认定为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6B13FC5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3.5.</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对联合体参加磋商的其他资格要求见申请人的资格要求。</w:t>
      </w:r>
    </w:p>
    <w:p w14:paraId="4E7C5AC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3.6单位负责人为同一人或者存在直接控股、管理关系的不同供应商，不得参加同一合同项下的政府采购活动。否则其相关响应文件将被认定为</w:t>
      </w:r>
      <w:r>
        <w:rPr>
          <w:rFonts w:hint="eastAsia" w:ascii="宋体" w:hAnsi="宋体" w:eastAsia="宋体" w:cs="宋体"/>
          <w:b/>
          <w:bCs/>
          <w:color w:val="auto"/>
          <w:sz w:val="24"/>
          <w:highlight w:val="none"/>
        </w:rPr>
        <w:t>响应无效</w:t>
      </w:r>
      <w:r>
        <w:rPr>
          <w:rFonts w:hint="eastAsia" w:ascii="宋体" w:hAnsi="宋体" w:eastAsia="宋体" w:cs="宋体"/>
          <w:color w:val="auto"/>
          <w:sz w:val="24"/>
          <w:highlight w:val="none"/>
        </w:rPr>
        <w:t>。</w:t>
      </w:r>
    </w:p>
    <w:p w14:paraId="6E1361E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3.7</w:t>
      </w:r>
      <w:r>
        <w:rPr>
          <w:rFonts w:hint="eastAsia" w:ascii="宋体" w:hAnsi="宋体" w:eastAsia="宋体" w:cs="宋体"/>
          <w:color w:val="auto"/>
          <w:sz w:val="24"/>
          <w:szCs w:val="24"/>
          <w:highlight w:val="none"/>
        </w:rPr>
        <w:t>为采购项目提供整体设计、规范编制或者项目管理、监理、检测等服务的供应商，不得再参加该采购项目的其他采购活动。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highlight w:val="none"/>
        </w:rPr>
        <w:t>“其他采购活动”指为采购项目提供整体设计、规范编制和项目管理、监理、检测等服务之外的采购活动。供应商可以同时承担项目的整体设计、规范编制和项目管理、监理、检测等服务，具体详见《关于〈中华人民共和国政府采购法实施条例〉第十八条第二款法律适用的函》（财办库〔2015〕295号）。</w:t>
      </w:r>
    </w:p>
    <w:p w14:paraId="536F44D5">
      <w:pPr>
        <w:spacing w:line="360" w:lineRule="auto"/>
        <w:ind w:firstLine="437"/>
        <w:outlineLvl w:val="2"/>
        <w:rPr>
          <w:rFonts w:ascii="宋体" w:hAnsi="宋体" w:eastAsia="宋体" w:cs="宋体"/>
          <w:b/>
          <w:color w:val="auto"/>
          <w:sz w:val="24"/>
          <w:highlight w:val="none"/>
        </w:rPr>
      </w:pPr>
      <w:bookmarkStart w:id="97" w:name="_Toc16944"/>
      <w:r>
        <w:rPr>
          <w:rFonts w:hint="eastAsia" w:ascii="宋体" w:hAnsi="宋体" w:eastAsia="宋体" w:cs="宋体"/>
          <w:b/>
          <w:color w:val="auto"/>
          <w:sz w:val="24"/>
          <w:highlight w:val="none"/>
        </w:rPr>
        <w:t>4.资金落实情况</w:t>
      </w:r>
      <w:bookmarkEnd w:id="97"/>
    </w:p>
    <w:p w14:paraId="7810028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4.1本项目的采购人已获得足以支付本次磋商后所签订的合同项下的资金。</w:t>
      </w:r>
    </w:p>
    <w:p w14:paraId="0077D0E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4.2项目预算金额或分项（或分包）预算金额见磋商公告。</w:t>
      </w:r>
    </w:p>
    <w:p w14:paraId="1B7FBB1F">
      <w:pPr>
        <w:spacing w:line="360" w:lineRule="auto"/>
        <w:ind w:firstLine="437"/>
        <w:outlineLvl w:val="2"/>
        <w:rPr>
          <w:rFonts w:ascii="宋体" w:hAnsi="宋体" w:eastAsia="宋体" w:cs="宋体"/>
          <w:b/>
          <w:color w:val="auto"/>
          <w:sz w:val="24"/>
          <w:highlight w:val="none"/>
        </w:rPr>
      </w:pPr>
      <w:bookmarkStart w:id="98" w:name="_Toc21536"/>
      <w:r>
        <w:rPr>
          <w:rFonts w:hint="eastAsia" w:ascii="宋体" w:hAnsi="宋体" w:eastAsia="宋体" w:cs="宋体"/>
          <w:b/>
          <w:color w:val="auto"/>
          <w:sz w:val="24"/>
          <w:highlight w:val="none"/>
        </w:rPr>
        <w:t>5.磋商文件构成</w:t>
      </w:r>
      <w:bookmarkEnd w:id="98"/>
    </w:p>
    <w:p w14:paraId="02DE560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5.1磋商文件包括下列内容：</w:t>
      </w:r>
    </w:p>
    <w:p w14:paraId="741E3B40">
      <w:pPr>
        <w:spacing w:line="360" w:lineRule="auto"/>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第一章  竞争性磋商公告</w:t>
      </w:r>
    </w:p>
    <w:p w14:paraId="5F1AFAD4">
      <w:pPr>
        <w:spacing w:line="360" w:lineRule="auto"/>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第二章  供应商须知</w:t>
      </w:r>
    </w:p>
    <w:p w14:paraId="5B94230D">
      <w:pPr>
        <w:spacing w:line="360" w:lineRule="auto"/>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6CBC7D96">
      <w:pPr>
        <w:spacing w:line="360" w:lineRule="auto"/>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第四章  评审方法和标准</w:t>
      </w:r>
    </w:p>
    <w:p w14:paraId="285688C0">
      <w:pPr>
        <w:spacing w:line="360" w:lineRule="auto"/>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35D448C1">
      <w:pPr>
        <w:spacing w:line="360" w:lineRule="auto"/>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第六章  响应文件格式</w:t>
      </w:r>
    </w:p>
    <w:p w14:paraId="401FE64A">
      <w:pPr>
        <w:spacing w:line="360" w:lineRule="auto"/>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第七章  政府采购供应商询问函和质疑函范本</w:t>
      </w:r>
    </w:p>
    <w:p w14:paraId="3F33548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5.2现场考察（标前答疑会）及相关事项见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483955F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5.3供应商应认真阅读磋商文件所有的事项、格式、条款和技术规范等。</w:t>
      </w:r>
    </w:p>
    <w:p w14:paraId="4D141090">
      <w:pPr>
        <w:spacing w:line="360" w:lineRule="auto"/>
        <w:ind w:firstLine="437"/>
        <w:outlineLvl w:val="2"/>
        <w:rPr>
          <w:rFonts w:ascii="宋体" w:hAnsi="宋体" w:eastAsia="宋体" w:cs="宋体"/>
          <w:b/>
          <w:color w:val="auto"/>
          <w:sz w:val="24"/>
          <w:highlight w:val="none"/>
        </w:rPr>
      </w:pPr>
      <w:bookmarkStart w:id="99" w:name="_Toc22727"/>
      <w:r>
        <w:rPr>
          <w:rFonts w:hint="eastAsia" w:ascii="宋体" w:hAnsi="宋体" w:eastAsia="宋体" w:cs="宋体"/>
          <w:b/>
          <w:color w:val="auto"/>
          <w:sz w:val="24"/>
          <w:highlight w:val="none"/>
        </w:rPr>
        <w:t>6.竞争性磋商文件的澄清与修改</w:t>
      </w:r>
      <w:bookmarkEnd w:id="99"/>
    </w:p>
    <w:p w14:paraId="079280E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6.1供应商如对磋商文件内容有疑问，必须在</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规定的询问截止时间前以</w:t>
      </w:r>
      <w:r>
        <w:rPr>
          <w:rFonts w:hint="eastAsia" w:ascii="宋体" w:hAnsi="宋体" w:eastAsia="宋体" w:cs="宋体"/>
          <w:color w:val="auto"/>
          <w:sz w:val="24"/>
          <w:highlight w:val="none"/>
          <w:lang w:eastAsia="zh-CN"/>
        </w:rPr>
        <w:t>书面形式</w:t>
      </w:r>
      <w:r>
        <w:rPr>
          <w:rFonts w:hint="eastAsia" w:ascii="宋体" w:hAnsi="宋体" w:eastAsia="宋体" w:cs="宋体"/>
          <w:color w:val="auto"/>
          <w:sz w:val="24"/>
          <w:highlight w:val="none"/>
        </w:rPr>
        <w:t>提交给采购代理机构。</w:t>
      </w:r>
    </w:p>
    <w:p w14:paraId="4E17BBC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6.2采购人可主动地或在答复供应商提出的询问时对磋商文件进行澄清与修改。采购代理机构将在</w:t>
      </w:r>
      <w:r>
        <w:rPr>
          <w:rFonts w:hint="eastAsia" w:ascii="宋体" w:hAnsi="宋体" w:eastAsia="宋体" w:cs="宋体"/>
          <w:color w:val="auto"/>
          <w:sz w:val="24"/>
          <w:szCs w:val="18"/>
          <w:highlight w:val="none"/>
          <w:lang w:val="en-US" w:eastAsia="zh-CN"/>
        </w:rPr>
        <w:t>指定媒介上</w:t>
      </w:r>
      <w:r>
        <w:rPr>
          <w:rFonts w:hint="eastAsia" w:ascii="宋体" w:hAnsi="宋体" w:eastAsia="宋体" w:cs="宋体"/>
          <w:color w:val="auto"/>
          <w:sz w:val="24"/>
          <w:highlight w:val="none"/>
        </w:rPr>
        <w:t>以发布更正公告的方式澄清或者修改磋商文件，更正公告的内容作为磋商文件的组成部分，对供应商起约束作用。供应商应主动上网查询。采购代理机构不承担供应商未及时关注相关信息引发的相关责任。</w:t>
      </w:r>
    </w:p>
    <w:p w14:paraId="7767EFA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5F4F715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6.4对于没有提出询问又参与了本项目磋商的供应商将被视为完全认同本磋商文件（含更正公告的内容）。</w:t>
      </w:r>
    </w:p>
    <w:p w14:paraId="58D1062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6.5供应商提出质疑的相关要求：见供应商须知前附表。</w:t>
      </w:r>
    </w:p>
    <w:p w14:paraId="05B3A0D7">
      <w:pPr>
        <w:spacing w:line="360" w:lineRule="auto"/>
        <w:ind w:firstLine="437"/>
        <w:outlineLvl w:val="2"/>
        <w:rPr>
          <w:rFonts w:ascii="宋体" w:hAnsi="宋体" w:eastAsia="宋体" w:cs="宋体"/>
          <w:b/>
          <w:color w:val="auto"/>
          <w:sz w:val="24"/>
          <w:highlight w:val="none"/>
        </w:rPr>
      </w:pPr>
      <w:bookmarkStart w:id="100" w:name="_Toc11489"/>
      <w:r>
        <w:rPr>
          <w:rFonts w:hint="eastAsia" w:ascii="宋体" w:hAnsi="宋体" w:eastAsia="宋体" w:cs="宋体"/>
          <w:b/>
          <w:color w:val="auto"/>
          <w:sz w:val="24"/>
          <w:highlight w:val="none"/>
        </w:rPr>
        <w:t>7.响应文件构成</w:t>
      </w:r>
      <w:bookmarkEnd w:id="100"/>
    </w:p>
    <w:p w14:paraId="6D3D0C1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7.1供应商应完整地按磋商文件提供的响应文件格式及要求编写响应文件，具体内容详见本项目响应文件格式的相关内容。</w:t>
      </w:r>
    </w:p>
    <w:p w14:paraId="2416101D">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7.2供应商应提交磋商文件要求的证明文件，证明其响应内容符合磋商文件规定，该证明文件是响应文件的一部分。证明文件形式可以是文字资料、图纸和数据等。</w:t>
      </w:r>
    </w:p>
    <w:p w14:paraId="6FC5AD8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7.3为保证公平公正，除非另有规定或说明，供应商对同一项目磋商时，不得同时提供备选磋商方案。</w:t>
      </w:r>
    </w:p>
    <w:p w14:paraId="51E9DB0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7.4上述文件应按照磋商文件规定的格式填写、签署和盖章。</w:t>
      </w:r>
    </w:p>
    <w:p w14:paraId="4179D4CF">
      <w:pPr>
        <w:spacing w:line="360" w:lineRule="auto"/>
        <w:ind w:firstLine="435"/>
        <w:rPr>
          <w:rFonts w:ascii="宋体" w:hAnsi="宋体" w:eastAsia="宋体" w:cs="宋体"/>
          <w:b/>
          <w:bCs/>
          <w:color w:val="auto"/>
          <w:sz w:val="24"/>
          <w:highlight w:val="none"/>
        </w:rPr>
      </w:pPr>
      <w:r>
        <w:rPr>
          <w:rFonts w:hint="eastAsia" w:ascii="宋体" w:hAnsi="宋体" w:eastAsia="宋体" w:cs="宋体"/>
          <w:b/>
          <w:bCs/>
          <w:color w:val="auto"/>
          <w:sz w:val="24"/>
          <w:highlight w:val="none"/>
        </w:rPr>
        <w:t>8.证明标的的合格性和符合磋商文件规定的技术文件</w:t>
      </w:r>
    </w:p>
    <w:p w14:paraId="3D72983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8.1供应商应提交磋商文件要求的证明文件，证明其响应内容符合磋商文件规定。该证明文件是响应文件的一部分。</w:t>
      </w:r>
    </w:p>
    <w:p w14:paraId="3E6C34C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8.2上款所述的证明文件，可以是文字资料、图纸和数据。</w:t>
      </w:r>
    </w:p>
    <w:p w14:paraId="0960E36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8.3本条所指证明文件不包括对磋商文件相关部分的文字、图标的复制。</w:t>
      </w:r>
    </w:p>
    <w:p w14:paraId="5AA0415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8.4供应商应注意采购人在采购需求中提供的工艺、材料和设备的参考品牌型号或分类号仅起说明作用，并没有任何限制性。供应商在响应文件中可以选用替代品牌型号或分类号，但这些替代要实质上相当于技术规格的要求，是否满足要求，由磋商小组来评判。</w:t>
      </w:r>
    </w:p>
    <w:p w14:paraId="4BBE82C1">
      <w:pPr>
        <w:spacing w:line="360" w:lineRule="auto"/>
        <w:ind w:firstLine="437"/>
        <w:outlineLvl w:val="2"/>
        <w:rPr>
          <w:rFonts w:ascii="宋体" w:hAnsi="宋体" w:eastAsia="宋体" w:cs="宋体"/>
          <w:b/>
          <w:color w:val="auto"/>
          <w:sz w:val="24"/>
          <w:highlight w:val="none"/>
        </w:rPr>
      </w:pPr>
      <w:bookmarkStart w:id="101" w:name="_Toc5653"/>
      <w:r>
        <w:rPr>
          <w:rFonts w:hint="eastAsia" w:ascii="宋体" w:hAnsi="宋体" w:eastAsia="宋体" w:cs="宋体"/>
          <w:b/>
          <w:color w:val="auto"/>
          <w:sz w:val="24"/>
          <w:highlight w:val="none"/>
        </w:rPr>
        <w:t>9.报价</w:t>
      </w:r>
      <w:bookmarkEnd w:id="101"/>
    </w:p>
    <w:p w14:paraId="50F7D11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9.1供应商的报价应当包括满足本次磋商全部内容。所有报价均应以人民币报价，供应商的磋商报价应遵守《中华人民共和国价格法》</w:t>
      </w:r>
      <w:r>
        <w:rPr>
          <w:rFonts w:hint="eastAsia" w:ascii="宋体" w:hAnsi="宋体" w:eastAsia="宋体" w:cs="宋体"/>
          <w:color w:val="auto"/>
          <w:sz w:val="24"/>
          <w:highlight w:val="none"/>
          <w:lang w:eastAsia="zh-CN"/>
        </w:rPr>
        <w:t>。</w:t>
      </w:r>
    </w:p>
    <w:p w14:paraId="36F3C4F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9.2除非磋商文件另有规定或经采购人同意支付的，最后报价均不得高于磋商文件（公告）列明的项目预算，否则其响应文件将被认定为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5578C31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9.3报价在合同履行过程中是固定不变的，不得以任何理由予以变更。任何包含价格调整要求的磋商，其响应文件将被认定为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0012AC7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9.4提交两个或两个以上的响应报价，或者任何有选择性的报价或者有附加条件的报价的，其响应文件将被认定为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，供应商须知前附表允许提交备选方案的除外。</w:t>
      </w:r>
    </w:p>
    <w:p w14:paraId="26B41F7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9.5响应报价为各分项报价之和。如分项报价中存在缺漏项，则视为缺漏项价格已包含在其他分项报价之中。供应商在提交首次响应文件截止时间前修改响应报价一览表中的响应报价总额，应同时修改响应文件“分项报价表”中的相应报价。此修改须符合本章第12.2款的有关要求。</w:t>
      </w:r>
    </w:p>
    <w:p w14:paraId="7CC0E63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9.6采购人不接受具有附加条件的报价。</w:t>
      </w:r>
    </w:p>
    <w:p w14:paraId="5826A81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9.7 响应报价的其他要求见供应商须知前附表。</w:t>
      </w:r>
    </w:p>
    <w:p w14:paraId="45159C9F">
      <w:pPr>
        <w:spacing w:line="360" w:lineRule="auto"/>
        <w:ind w:firstLine="437"/>
        <w:outlineLvl w:val="2"/>
        <w:rPr>
          <w:rFonts w:ascii="宋体" w:hAnsi="宋体" w:eastAsia="宋体" w:cs="宋体"/>
          <w:b/>
          <w:color w:val="auto"/>
          <w:sz w:val="24"/>
          <w:highlight w:val="none"/>
        </w:rPr>
      </w:pPr>
      <w:bookmarkStart w:id="102" w:name="_Toc18145"/>
      <w:r>
        <w:rPr>
          <w:rFonts w:hint="eastAsia" w:ascii="宋体" w:hAnsi="宋体" w:eastAsia="宋体" w:cs="宋体"/>
          <w:b/>
          <w:color w:val="auto"/>
          <w:sz w:val="24"/>
          <w:highlight w:val="none"/>
        </w:rPr>
        <w:t>10.磋商保证金</w:t>
      </w:r>
      <w:bookmarkEnd w:id="102"/>
    </w:p>
    <w:p w14:paraId="2D587E0D">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10.1详见供应商须知前附表。</w:t>
      </w:r>
    </w:p>
    <w:p w14:paraId="55D1011D">
      <w:pPr>
        <w:spacing w:line="360" w:lineRule="auto"/>
        <w:ind w:firstLine="437"/>
        <w:outlineLvl w:val="2"/>
        <w:rPr>
          <w:rFonts w:ascii="宋体" w:hAnsi="宋体" w:eastAsia="宋体" w:cs="宋体"/>
          <w:b/>
          <w:color w:val="auto"/>
          <w:sz w:val="24"/>
          <w:highlight w:val="none"/>
        </w:rPr>
      </w:pPr>
      <w:bookmarkStart w:id="103" w:name="_Toc22642"/>
      <w:r>
        <w:rPr>
          <w:rFonts w:hint="eastAsia" w:ascii="宋体" w:hAnsi="宋体" w:eastAsia="宋体" w:cs="宋体"/>
          <w:b/>
          <w:color w:val="auto"/>
          <w:sz w:val="24"/>
          <w:highlight w:val="none"/>
        </w:rPr>
        <w:t>11.磋商有效期</w:t>
      </w:r>
      <w:bookmarkEnd w:id="103"/>
    </w:p>
    <w:p w14:paraId="0050ADE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11.1磋商有效期为从响应文件提交截止之日算起的日历天数，磋商有效期详见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02633E0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11.2在磋商有效期内，供应商的磋商保持有效，供应商不得要求撤销或修改其响应文件。磋商有效期不满足要求的响应，其响应文件将被认定为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3249368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2896EC7D">
      <w:pPr>
        <w:spacing w:line="360" w:lineRule="auto"/>
        <w:ind w:firstLine="437"/>
        <w:outlineLvl w:val="2"/>
        <w:rPr>
          <w:rFonts w:ascii="宋体" w:hAnsi="宋体" w:eastAsia="宋体" w:cs="宋体"/>
          <w:b/>
          <w:color w:val="auto"/>
          <w:sz w:val="24"/>
          <w:highlight w:val="none"/>
        </w:rPr>
      </w:pPr>
      <w:bookmarkStart w:id="104" w:name="_Toc15436"/>
      <w:r>
        <w:rPr>
          <w:rFonts w:hint="eastAsia" w:ascii="宋体" w:hAnsi="宋体" w:eastAsia="宋体" w:cs="宋体"/>
          <w:b/>
          <w:color w:val="auto"/>
          <w:sz w:val="24"/>
          <w:highlight w:val="none"/>
        </w:rPr>
        <w:t>12.响应文件的制作</w:t>
      </w:r>
      <w:bookmarkEnd w:id="104"/>
    </w:p>
    <w:p w14:paraId="2B4A9F64">
      <w:pPr>
        <w:spacing w:line="360" w:lineRule="auto"/>
        <w:ind w:firstLine="437"/>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12.1本项目响应文件的制作详见</w:t>
      </w:r>
      <w:r>
        <w:rPr>
          <w:rFonts w:hint="default" w:ascii="Times New Roman" w:hAnsi="Times New Roman" w:eastAsia="宋体" w:cs="Times New Roman"/>
          <w:bCs/>
          <w:color w:val="auto"/>
          <w:sz w:val="24"/>
          <w:highlight w:val="none"/>
          <w:u w:val="single"/>
        </w:rPr>
        <w:t>供应商须知前附表</w:t>
      </w:r>
      <w:r>
        <w:rPr>
          <w:rFonts w:hint="default" w:ascii="Times New Roman" w:hAnsi="Times New Roman" w:eastAsia="宋体" w:cs="Times New Roman"/>
          <w:bCs/>
          <w:color w:val="auto"/>
          <w:sz w:val="24"/>
          <w:highlight w:val="none"/>
        </w:rPr>
        <w:t>。</w:t>
      </w:r>
    </w:p>
    <w:p w14:paraId="68BE23D2">
      <w:pPr>
        <w:spacing w:line="360" w:lineRule="auto"/>
        <w:ind w:firstLine="437"/>
        <w:rPr>
          <w:rFonts w:ascii="宋体" w:hAnsi="宋体" w:eastAsia="宋体" w:cs="宋体"/>
          <w:bCs/>
          <w:color w:val="auto"/>
          <w:sz w:val="24"/>
          <w:highlight w:val="none"/>
        </w:rPr>
      </w:pPr>
      <w:r>
        <w:rPr>
          <w:rFonts w:hint="default" w:ascii="Times New Roman" w:hAnsi="Times New Roman" w:eastAsia="宋体" w:cs="Times New Roman"/>
          <w:bCs/>
          <w:color w:val="auto"/>
          <w:sz w:val="24"/>
          <w:highlight w:val="none"/>
        </w:rPr>
        <w:t>12.</w:t>
      </w:r>
      <w:r>
        <w:rPr>
          <w:rFonts w:hint="default" w:ascii="Times New Roman" w:hAnsi="Times New Roman" w:eastAsia="宋体" w:cs="Times New Roman"/>
          <w:bCs/>
          <w:color w:val="auto"/>
          <w:sz w:val="24"/>
          <w:highlight w:val="none"/>
          <w:lang w:val="en-US" w:eastAsia="zh-CN"/>
        </w:rPr>
        <w:t>2</w:t>
      </w:r>
      <w:r>
        <w:rPr>
          <w:rFonts w:hint="default" w:ascii="Times New Roman" w:hAnsi="Times New Roman" w:eastAsia="宋体" w:cs="Times New Roman"/>
          <w:bCs/>
          <w:color w:val="auto"/>
          <w:sz w:val="24"/>
          <w:highlight w:val="none"/>
        </w:rPr>
        <w:t>磋商现场提交的其他材料要求详见</w:t>
      </w:r>
      <w:r>
        <w:rPr>
          <w:rFonts w:hint="default" w:ascii="Times New Roman" w:hAnsi="Times New Roman" w:eastAsia="宋体" w:cs="Times New Roman"/>
          <w:bCs/>
          <w:color w:val="auto"/>
          <w:sz w:val="24"/>
          <w:highlight w:val="none"/>
          <w:u w:val="single"/>
        </w:rPr>
        <w:t>供应商须知前附表</w:t>
      </w:r>
      <w:r>
        <w:rPr>
          <w:rFonts w:hint="default" w:ascii="Times New Roman" w:hAnsi="Times New Roman" w:eastAsia="宋体" w:cs="Times New Roman"/>
          <w:bCs/>
          <w:color w:val="auto"/>
          <w:sz w:val="24"/>
          <w:highlight w:val="none"/>
        </w:rPr>
        <w:t>。</w:t>
      </w:r>
    </w:p>
    <w:p w14:paraId="05A6AC27">
      <w:pPr>
        <w:spacing w:line="360" w:lineRule="auto"/>
        <w:ind w:firstLine="437"/>
        <w:outlineLvl w:val="2"/>
        <w:rPr>
          <w:rFonts w:ascii="宋体" w:hAnsi="宋体" w:eastAsia="宋体" w:cs="宋体"/>
          <w:b/>
          <w:color w:val="auto"/>
          <w:sz w:val="24"/>
          <w:highlight w:val="none"/>
        </w:rPr>
      </w:pPr>
      <w:bookmarkStart w:id="105" w:name="_Toc31176"/>
      <w:r>
        <w:rPr>
          <w:rFonts w:hint="eastAsia" w:ascii="宋体" w:hAnsi="宋体" w:eastAsia="宋体" w:cs="宋体"/>
          <w:b/>
          <w:color w:val="auto"/>
          <w:sz w:val="24"/>
          <w:highlight w:val="none"/>
        </w:rPr>
        <w:t>13.初审资料</w:t>
      </w:r>
      <w:bookmarkEnd w:id="105"/>
    </w:p>
    <w:p w14:paraId="685FCEA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13.1 “供应商基本情况表”应按规定格式填写，并提供符合要求的相关证明材料的复制件。</w:t>
      </w:r>
    </w:p>
    <w:p w14:paraId="6BE3A7C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13.2 “近年类似项目表”应附符合竞争性磋商文件规定的证明材料，具体年份要求见供应商须知前附表。</w:t>
      </w:r>
    </w:p>
    <w:p w14:paraId="428408E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13.3 供应商须知前附表规定接受联合体响应的，本章第3.5.1项至第3.5.3项规定的表格和资料包括联合体各方成员相关情况。</w:t>
      </w:r>
    </w:p>
    <w:p w14:paraId="38D145FE">
      <w:pPr>
        <w:spacing w:line="360" w:lineRule="auto"/>
        <w:ind w:firstLine="435"/>
        <w:outlineLvl w:val="2"/>
        <w:rPr>
          <w:rFonts w:ascii="宋体" w:hAnsi="宋体" w:eastAsia="宋体" w:cs="宋体"/>
          <w:b/>
          <w:bCs/>
          <w:color w:val="auto"/>
          <w:sz w:val="24"/>
          <w:highlight w:val="none"/>
        </w:rPr>
      </w:pPr>
      <w:bookmarkStart w:id="106" w:name="_Toc11817"/>
      <w:r>
        <w:rPr>
          <w:rFonts w:hint="eastAsia" w:ascii="宋体" w:hAnsi="宋体" w:eastAsia="宋体" w:cs="宋体"/>
          <w:b/>
          <w:bCs/>
          <w:color w:val="auto"/>
          <w:sz w:val="24"/>
          <w:highlight w:val="none"/>
        </w:rPr>
        <w:t>14.响应文件提交截止时间</w:t>
      </w:r>
      <w:bookmarkEnd w:id="106"/>
    </w:p>
    <w:p w14:paraId="5C80283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14.1</w:t>
      </w:r>
      <w:r>
        <w:rPr>
          <w:rFonts w:hint="default" w:ascii="Times New Roman" w:hAnsi="Times New Roman" w:eastAsia="宋体" w:cs="Times New Roman"/>
          <w:color w:val="auto"/>
          <w:sz w:val="24"/>
          <w:highlight w:val="none"/>
        </w:rPr>
        <w:t>供应商应在供应商须知前附表中规定的响应文件提交截止时间前，提交响应文件。</w:t>
      </w:r>
    </w:p>
    <w:p w14:paraId="5600A977">
      <w:pPr>
        <w:spacing w:line="360" w:lineRule="auto"/>
        <w:ind w:firstLine="437"/>
        <w:outlineLvl w:val="2"/>
        <w:rPr>
          <w:rFonts w:ascii="宋体" w:hAnsi="宋体" w:eastAsia="宋体" w:cs="宋体"/>
          <w:b/>
          <w:color w:val="auto"/>
          <w:sz w:val="24"/>
          <w:highlight w:val="none"/>
        </w:rPr>
      </w:pPr>
      <w:bookmarkStart w:id="107" w:name="_Toc4793"/>
      <w:r>
        <w:rPr>
          <w:rFonts w:hint="eastAsia" w:ascii="宋体" w:hAnsi="宋体" w:eastAsia="宋体" w:cs="宋体"/>
          <w:b/>
          <w:color w:val="auto"/>
          <w:sz w:val="24"/>
          <w:highlight w:val="none"/>
        </w:rPr>
        <w:t>15.响应文件的提交、修改与撤回</w:t>
      </w:r>
      <w:bookmarkEnd w:id="107"/>
    </w:p>
    <w:p w14:paraId="01ACE1D7">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15.1供应商应当在第一章竞争性磋商公告规定的响应文件提交截止时间前，将响应文件</w:t>
      </w:r>
      <w:r>
        <w:rPr>
          <w:rFonts w:hint="default" w:ascii="Times New Roman" w:hAnsi="Times New Roman" w:eastAsia="宋体" w:cs="Times New Roman"/>
          <w:color w:val="auto"/>
          <w:sz w:val="24"/>
          <w:highlight w:val="none"/>
          <w:lang w:eastAsia="zh-CN"/>
        </w:rPr>
        <w:t>提交</w:t>
      </w:r>
      <w:r>
        <w:rPr>
          <w:rFonts w:hint="default" w:ascii="Times New Roman" w:hAnsi="Times New Roman" w:eastAsia="宋体" w:cs="Times New Roman"/>
          <w:color w:val="auto"/>
          <w:sz w:val="24"/>
          <w:highlight w:val="none"/>
        </w:rPr>
        <w:t>。</w:t>
      </w:r>
    </w:p>
    <w:p w14:paraId="23A2F0C0">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15.2供应商应当在响应文件提交截止时间前完成响应文件的提交（以接收到</w:t>
      </w:r>
      <w:r>
        <w:rPr>
          <w:rFonts w:hint="default" w:ascii="Times New Roman" w:hAnsi="Times New Roman" w:eastAsia="宋体" w:cs="Times New Roman"/>
          <w:color w:val="auto"/>
          <w:sz w:val="24"/>
          <w:highlight w:val="none"/>
          <w:lang w:eastAsia="zh-CN"/>
        </w:rPr>
        <w:t>响应文件为准</w:t>
      </w:r>
      <w:r>
        <w:rPr>
          <w:rFonts w:hint="default" w:ascii="Times New Roman" w:hAnsi="Times New Roman" w:eastAsia="宋体" w:cs="Times New Roman"/>
          <w:color w:val="auto"/>
          <w:sz w:val="24"/>
          <w:highlight w:val="none"/>
        </w:rPr>
        <w:t>），并可以补充、修改或者撤回响应文件。响应文件提交截止时间前未完成响应文件</w:t>
      </w:r>
      <w:r>
        <w:rPr>
          <w:rFonts w:hint="default" w:ascii="Times New Roman" w:hAnsi="Times New Roman" w:eastAsia="宋体" w:cs="Times New Roman"/>
          <w:color w:val="auto"/>
          <w:sz w:val="24"/>
          <w:highlight w:val="none"/>
          <w:lang w:eastAsia="zh-CN"/>
        </w:rPr>
        <w:t>递交</w:t>
      </w:r>
      <w:r>
        <w:rPr>
          <w:rFonts w:hint="default" w:ascii="Times New Roman" w:hAnsi="Times New Roman" w:eastAsia="宋体" w:cs="Times New Roman"/>
          <w:color w:val="auto"/>
          <w:sz w:val="24"/>
          <w:highlight w:val="none"/>
        </w:rPr>
        <w:t>的，视为撤回响应文件。未按规定</w:t>
      </w:r>
      <w:r>
        <w:rPr>
          <w:rFonts w:hint="default" w:ascii="Times New Roman" w:hAnsi="Times New Roman" w:eastAsia="宋体" w:cs="Times New Roman"/>
          <w:color w:val="auto"/>
          <w:sz w:val="24"/>
          <w:highlight w:val="none"/>
          <w:lang w:eastAsia="zh-CN"/>
        </w:rPr>
        <w:t>密封</w:t>
      </w:r>
      <w:r>
        <w:rPr>
          <w:rFonts w:hint="default" w:ascii="Times New Roman" w:hAnsi="Times New Roman" w:eastAsia="宋体" w:cs="Times New Roman"/>
          <w:color w:val="auto"/>
          <w:sz w:val="24"/>
          <w:highlight w:val="none"/>
        </w:rPr>
        <w:t>或响应文件提交截止时间后送达的响应文件，</w:t>
      </w:r>
      <w:r>
        <w:rPr>
          <w:rFonts w:hint="default" w:ascii="Times New Roman" w:hAnsi="Times New Roman" w:eastAsia="宋体" w:cs="Times New Roman"/>
          <w:color w:val="auto"/>
          <w:sz w:val="24"/>
          <w:highlight w:val="none"/>
          <w:lang w:eastAsia="zh-CN"/>
        </w:rPr>
        <w:t>采购人或采购代理机构</w:t>
      </w:r>
      <w:r>
        <w:rPr>
          <w:rFonts w:hint="default" w:ascii="Times New Roman" w:hAnsi="Times New Roman" w:eastAsia="宋体" w:cs="Times New Roman"/>
          <w:color w:val="auto"/>
          <w:sz w:val="24"/>
          <w:highlight w:val="none"/>
        </w:rPr>
        <w:t>应当拒收。</w:t>
      </w:r>
    </w:p>
    <w:p w14:paraId="6556C426">
      <w:pPr>
        <w:spacing w:line="360" w:lineRule="auto"/>
        <w:ind w:firstLine="437"/>
        <w:outlineLvl w:val="2"/>
        <w:rPr>
          <w:rFonts w:hint="default" w:ascii="Times New Roman" w:hAnsi="Times New Roman" w:eastAsia="宋体" w:cs="Times New Roman"/>
          <w:color w:val="auto"/>
          <w:sz w:val="24"/>
          <w:highlight w:val="none"/>
        </w:rPr>
      </w:pPr>
      <w:bookmarkStart w:id="108" w:name="_Toc18273"/>
      <w:r>
        <w:rPr>
          <w:rFonts w:hint="default" w:ascii="Times New Roman" w:hAnsi="Times New Roman" w:eastAsia="宋体" w:cs="Times New Roman"/>
          <w:color w:val="auto"/>
          <w:sz w:val="24"/>
          <w:highlight w:val="none"/>
        </w:rPr>
        <w:t>15.3在响应文件提交截止时间之后，供应商不得对其响应文件做任何修改。但属于磋商小组在评审中发现的计算错误并进行核实的修改、按照磋商文件的变动情况和磋商小组的要求重新提交响应文件的，不在此列。</w:t>
      </w:r>
      <w:bookmarkEnd w:id="108"/>
    </w:p>
    <w:p w14:paraId="14EFF52A">
      <w:pPr>
        <w:spacing w:line="360" w:lineRule="auto"/>
        <w:ind w:firstLine="437"/>
        <w:outlineLvl w:val="2"/>
        <w:rPr>
          <w:rFonts w:ascii="宋体" w:hAnsi="宋体" w:eastAsia="宋体" w:cs="宋体"/>
          <w:b/>
          <w:color w:val="auto"/>
          <w:sz w:val="24"/>
          <w:highlight w:val="none"/>
        </w:rPr>
      </w:pPr>
      <w:bookmarkStart w:id="109" w:name="_Toc3092"/>
      <w:r>
        <w:rPr>
          <w:rFonts w:hint="eastAsia" w:ascii="宋体" w:hAnsi="宋体" w:eastAsia="宋体" w:cs="宋体"/>
          <w:b/>
          <w:color w:val="auto"/>
          <w:sz w:val="24"/>
          <w:highlight w:val="none"/>
        </w:rPr>
        <w:t>16.磋商小组</w:t>
      </w:r>
      <w:bookmarkEnd w:id="109"/>
    </w:p>
    <w:p w14:paraId="3741E96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16.1本项目将依法组建磋商小组，磋商小组成员由3人以上（含）单数组成，由采购人代表以及有关技术、经济等方面的专家组成。磋商小组成员技术、经济等方面专家的确定方式见供应商须知前附表。磋商小组及其成员应当依照政府采购的有关规定履行相关职责和义务。</w:t>
      </w:r>
    </w:p>
    <w:p w14:paraId="5D0C8AA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16.2磋商小组成员有下列情形之一的，应当回避：</w:t>
      </w:r>
    </w:p>
    <w:p w14:paraId="76BB34D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（1）参加采购活动前三年内，与供应商存在劳动关系，或者担任过供应商的董事、监事，或者是供应商的控股股东或实际控制人；</w:t>
      </w:r>
    </w:p>
    <w:p w14:paraId="0B040F2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（2）与供应商的法定代表人（单位负责人）或者负责人有夫妻、直系血亲、三代以内旁系血亲或者近姻亲关系；</w:t>
      </w:r>
    </w:p>
    <w:p w14:paraId="16BEA7CD">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（3）与供应商有其他可能影响政府采购活动公平、公正进行的关系。</w:t>
      </w:r>
    </w:p>
    <w:p w14:paraId="3B8D804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16.3磋商与评审过程中，磋商小组成员有回避事由、擅离职守或者因健康等原因不能继续磋商与评审的，采购人有权更换。被更换的磋商小组成员作出的评审结论无效，由更换后的磋商小组成员重新进行磋商与评审。</w:t>
      </w:r>
    </w:p>
    <w:p w14:paraId="18C676A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16.4磋商小组依法对响应文件进行评审，并根据磋商文件规定的程序、评定成交的标准等事项与实质性响应磋商文件要求的供应商进行磋商。</w:t>
      </w:r>
    </w:p>
    <w:p w14:paraId="62DD9C7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16.5磋商小组应当从质量和服务均能满足磋商文件实质性响应要求的供应商中，按照评审方法和标准推荐成交候选供应商，并编写评审报告。</w:t>
      </w:r>
    </w:p>
    <w:p w14:paraId="6B557406">
      <w:pPr>
        <w:spacing w:line="360" w:lineRule="auto"/>
        <w:ind w:firstLine="437"/>
        <w:outlineLvl w:val="2"/>
        <w:rPr>
          <w:rFonts w:ascii="宋体" w:hAnsi="宋体" w:eastAsia="宋体" w:cs="宋体"/>
          <w:b/>
          <w:color w:val="auto"/>
          <w:sz w:val="24"/>
          <w:highlight w:val="none"/>
        </w:rPr>
      </w:pPr>
      <w:bookmarkStart w:id="110" w:name="_Toc14567"/>
      <w:r>
        <w:rPr>
          <w:rFonts w:hint="eastAsia" w:ascii="宋体" w:hAnsi="宋体" w:eastAsia="宋体" w:cs="宋体"/>
          <w:b/>
          <w:color w:val="auto"/>
          <w:sz w:val="24"/>
          <w:highlight w:val="none"/>
        </w:rPr>
        <w:t>17.响应文件的评审与磋商</w:t>
      </w:r>
      <w:bookmarkEnd w:id="110"/>
    </w:p>
    <w:p w14:paraId="00855A1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17.1采购人和采购代理机构将在竞争性磋商公告规定的时间和地点组织磋商。</w:t>
      </w:r>
    </w:p>
    <w:p w14:paraId="27E129B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17.2竞争性磋商活动采用综合评分法评审。</w:t>
      </w:r>
    </w:p>
    <w:p w14:paraId="0F3F659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综合评分法，是指响应文件满足磋商文件全部实质性要求且按评审因素的量化指标评审得分最高的供应商为成交候选供应商的评审方法。</w:t>
      </w:r>
    </w:p>
    <w:p w14:paraId="17B8B5C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17.3磋商小组将按照磋商文件规定的评审方法和标准对供应商独立进行评审。评审程序如下：</w:t>
      </w:r>
    </w:p>
    <w:p w14:paraId="32F6B66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17.3.1</w:t>
      </w:r>
      <w:r>
        <w:rPr>
          <w:rFonts w:hint="eastAsia" w:ascii="宋体" w:hAnsi="宋体" w:eastAsia="宋体" w:cs="宋体"/>
          <w:b/>
          <w:color w:val="auto"/>
          <w:sz w:val="24"/>
          <w:highlight w:val="none"/>
        </w:rPr>
        <w:t>初审</w:t>
      </w:r>
      <w:r>
        <w:rPr>
          <w:rFonts w:hint="eastAsia" w:ascii="宋体" w:hAnsi="宋体" w:eastAsia="宋体" w:cs="宋体"/>
          <w:color w:val="auto"/>
          <w:sz w:val="24"/>
          <w:highlight w:val="none"/>
        </w:rPr>
        <w:t>。磋商小组对供应商必须满足和实质性响应的内容进行评审，供应商未实质性响应磋商文件要求导致响应无效的，磋商小组将以书面询标的方式告知有关供应商。</w:t>
      </w:r>
    </w:p>
    <w:p w14:paraId="7EEAFF7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响应无效。</w:t>
      </w:r>
    </w:p>
    <w:p w14:paraId="3836091C">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以联合体形式参加磋商的，联合体成员存在以上不良信用记录的，联合体磋商将被认定为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54269E1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17.3.2</w:t>
      </w:r>
      <w:r>
        <w:rPr>
          <w:rFonts w:hint="eastAsia" w:ascii="宋体" w:hAnsi="宋体" w:eastAsia="宋体" w:cs="宋体"/>
          <w:b/>
          <w:color w:val="auto"/>
          <w:sz w:val="24"/>
          <w:highlight w:val="none"/>
        </w:rPr>
        <w:t>磋商</w:t>
      </w:r>
      <w:r>
        <w:rPr>
          <w:rFonts w:hint="eastAsia" w:ascii="宋体" w:hAnsi="宋体" w:eastAsia="宋体" w:cs="宋体"/>
          <w:color w:val="auto"/>
          <w:sz w:val="24"/>
          <w:highlight w:val="none"/>
        </w:rPr>
        <w:t>。初审合格后，磋商小组将按响应文件提交顺序集中与单一供应商分别进行磋商，并给予所有参加磋商的供应商平等的磋商机会。</w:t>
      </w:r>
    </w:p>
    <w:p w14:paraId="4E08640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17.3.3</w:t>
      </w:r>
      <w:r>
        <w:rPr>
          <w:rFonts w:hint="eastAsia" w:ascii="宋体" w:hAnsi="宋体" w:eastAsia="宋体" w:cs="宋体"/>
          <w:b/>
          <w:color w:val="auto"/>
          <w:sz w:val="24"/>
          <w:highlight w:val="none"/>
        </w:rPr>
        <w:t>报价</w:t>
      </w:r>
      <w:r>
        <w:rPr>
          <w:rFonts w:hint="eastAsia" w:ascii="宋体" w:hAnsi="宋体" w:eastAsia="宋体" w:cs="宋体"/>
          <w:color w:val="auto"/>
          <w:sz w:val="24"/>
          <w:highlight w:val="none"/>
        </w:rPr>
        <w:t>。磋商结束后，磋商小组应当要求所有实质性响应的供应商在规定时间内提交最后报价。</w:t>
      </w:r>
    </w:p>
    <w:p w14:paraId="18A5E50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17.3.4</w:t>
      </w:r>
      <w:r>
        <w:rPr>
          <w:rFonts w:hint="eastAsia" w:asciiTheme="minorEastAsia" w:hAnsiTheme="minorEastAsia" w:eastAsiaTheme="minorEastAsia"/>
          <w:b/>
          <w:bCs/>
          <w:sz w:val="24"/>
          <w:highlight w:val="none"/>
          <w:lang w:val="en-US" w:eastAsia="zh-CN"/>
        </w:rPr>
        <w:t>异常低价响应审查。</w:t>
      </w: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磋商小组进行异常低价响应审查。</w:t>
      </w:r>
    </w:p>
    <w:p w14:paraId="258DEC1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17.3.5</w:t>
      </w:r>
      <w:r>
        <w:rPr>
          <w:rFonts w:hint="eastAsia" w:ascii="宋体" w:hAnsi="宋体" w:eastAsia="宋体" w:cs="宋体"/>
          <w:b/>
          <w:color w:val="auto"/>
          <w:sz w:val="24"/>
          <w:highlight w:val="none"/>
        </w:rPr>
        <w:t>综合评分</w:t>
      </w:r>
      <w:r>
        <w:rPr>
          <w:rFonts w:hint="eastAsia" w:ascii="宋体" w:hAnsi="宋体" w:eastAsia="宋体" w:cs="宋体"/>
          <w:color w:val="auto"/>
          <w:sz w:val="24"/>
          <w:highlight w:val="none"/>
        </w:rPr>
        <w:t>。磋商小组只对通过初审</w:t>
      </w:r>
      <w:r>
        <w:rPr>
          <w:rFonts w:hint="eastAsia" w:asciiTheme="minorEastAsia" w:hAnsiTheme="minorEastAsia" w:eastAsiaTheme="minorEastAsia"/>
          <w:sz w:val="24"/>
          <w:highlight w:val="none"/>
          <w:lang w:eastAsia="zh-CN"/>
        </w:rPr>
        <w:t>、</w:t>
      </w:r>
      <w:r>
        <w:rPr>
          <w:rFonts w:hint="eastAsia" w:ascii="宋体" w:hAnsi="宋体" w:eastAsia="宋体"/>
          <w:sz w:val="24"/>
          <w:highlight w:val="none"/>
          <w:lang w:val="en-US" w:eastAsia="zh-CN"/>
        </w:rPr>
        <w:t>异常低价响应审查</w:t>
      </w:r>
      <w:r>
        <w:rPr>
          <w:rFonts w:hint="eastAsia" w:ascii="宋体" w:hAnsi="宋体" w:eastAsia="宋体" w:cs="宋体"/>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5E7E4E8D">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17.4相关说明。</w:t>
      </w:r>
    </w:p>
    <w:p w14:paraId="149F5BC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17.4.1为保证磋商活动顺利进行，供应商可派相关技术人员进行</w:t>
      </w:r>
      <w:r>
        <w:rPr>
          <w:rFonts w:hint="eastAsia" w:ascii="宋体" w:hAnsi="宋体" w:eastAsia="宋体" w:cs="宋体"/>
          <w:color w:val="auto"/>
          <w:sz w:val="24"/>
          <w:highlight w:val="none"/>
          <w:lang w:eastAsia="zh-CN"/>
        </w:rPr>
        <w:t>现场</w:t>
      </w:r>
      <w:r>
        <w:rPr>
          <w:rFonts w:hint="eastAsia" w:ascii="宋体" w:hAnsi="宋体" w:eastAsia="宋体" w:cs="宋体"/>
          <w:color w:val="auto"/>
          <w:sz w:val="24"/>
          <w:highlight w:val="none"/>
        </w:rPr>
        <w:t xml:space="preserve">答疑； </w:t>
      </w:r>
    </w:p>
    <w:p w14:paraId="69C5743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17.4.2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14:paraId="2B1CF69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17.4.3无论何种原因，即使供应商磋商时携带了证书材料的原件，但响应文件中未提供与之内容完全一致的</w:t>
      </w:r>
      <w:r>
        <w:rPr>
          <w:rFonts w:hint="eastAsia" w:ascii="宋体" w:hAnsi="宋体" w:eastAsia="宋体" w:cs="宋体"/>
          <w:color w:val="auto"/>
          <w:sz w:val="24"/>
          <w:highlight w:val="none"/>
          <w:lang w:eastAsia="zh-CN"/>
        </w:rPr>
        <w:t>复制件</w:t>
      </w:r>
      <w:r>
        <w:rPr>
          <w:rFonts w:hint="eastAsia" w:ascii="宋体" w:hAnsi="宋体" w:eastAsia="宋体" w:cs="宋体"/>
          <w:color w:val="auto"/>
          <w:sz w:val="24"/>
          <w:highlight w:val="none"/>
        </w:rPr>
        <w:t>的，磋商小组可以视同其未提供。</w:t>
      </w:r>
    </w:p>
    <w:p w14:paraId="3D72F90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17.4.</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磋商小组决定响应文件的响应性及符合性只根据响应文件本身的内容，而不寻求其他外部证据。</w:t>
      </w:r>
    </w:p>
    <w:p w14:paraId="680A58C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17.5供应商授权代表对磋商过程有疑义，以及认为采购人、采购代理机构相关工作人员有需要回避的情形的，应当场提出询问或者回避申请，并说明理由。</w:t>
      </w:r>
    </w:p>
    <w:p w14:paraId="0E77360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17.6响应文件有下列情形，但其他方面符合要求，应当认定通过资格性、符合性审查：</w:t>
      </w:r>
    </w:p>
    <w:p w14:paraId="6347123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（1）文件排序等非实质性的格式、形式问题；</w:t>
      </w:r>
    </w:p>
    <w:p w14:paraId="4396DC0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（2）因签章地方的当前页面签章位置偏移；</w:t>
      </w:r>
    </w:p>
    <w:p w14:paraId="58B02A9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（3）除磋商文件规定要求加盖供应商等公章以外，其他未盖章的；</w:t>
      </w:r>
    </w:p>
    <w:p w14:paraId="6D47126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（4）响应文件有明显书写错误的；</w:t>
      </w:r>
    </w:p>
    <w:p w14:paraId="7BF15C5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 xml:space="preserve">（5）除磋商文件规定要求法定代表人或授权代表签字以外，其他未签字的。 </w:t>
      </w:r>
    </w:p>
    <w:p w14:paraId="22135A80">
      <w:pPr>
        <w:spacing w:line="360" w:lineRule="auto"/>
        <w:ind w:firstLine="437"/>
        <w:outlineLvl w:val="2"/>
        <w:rPr>
          <w:rFonts w:ascii="宋体" w:hAnsi="宋体" w:eastAsia="宋体" w:cs="宋体"/>
          <w:b/>
          <w:color w:val="auto"/>
          <w:sz w:val="24"/>
          <w:highlight w:val="none"/>
        </w:rPr>
      </w:pPr>
      <w:bookmarkStart w:id="111" w:name="_Toc6361"/>
      <w:r>
        <w:rPr>
          <w:rFonts w:hint="eastAsia" w:ascii="宋体" w:hAnsi="宋体" w:eastAsia="宋体" w:cs="宋体"/>
          <w:b/>
          <w:color w:val="auto"/>
          <w:sz w:val="24"/>
          <w:highlight w:val="none"/>
        </w:rPr>
        <w:t>18.重新采购、变更采购方式与终止采购</w:t>
      </w:r>
      <w:bookmarkEnd w:id="111"/>
    </w:p>
    <w:p w14:paraId="4AB07DEE">
      <w:pPr>
        <w:pStyle w:val="6"/>
        <w:spacing w:after="0" w:line="360" w:lineRule="auto"/>
        <w:rPr>
          <w:rFonts w:ascii="宋体" w:hAnsi="宋体" w:eastAsia="宋体" w:cs="宋体"/>
          <w:color w:val="auto"/>
          <w:highlight w:val="none"/>
          <w:lang w:val="en-US"/>
        </w:rPr>
      </w:pPr>
      <w:r>
        <w:rPr>
          <w:rFonts w:hint="eastAsia" w:ascii="宋体" w:hAnsi="宋体" w:eastAsia="宋体" w:cs="宋体"/>
          <w:b/>
          <w:color w:val="auto"/>
          <w:sz w:val="24"/>
          <w:highlight w:val="none"/>
          <w:lang w:val="en-US"/>
        </w:rPr>
        <w:t xml:space="preserve">    18.1重新采购</w:t>
      </w:r>
    </w:p>
    <w:p w14:paraId="6BD2FA0A">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highlight w:val="none"/>
        </w:rPr>
        <w:t>18.1.1</w:t>
      </w:r>
      <w:r>
        <w:rPr>
          <w:rFonts w:hint="eastAsia" w:ascii="宋体" w:hAnsi="宋体" w:eastAsia="宋体" w:cs="宋体"/>
          <w:color w:val="auto"/>
          <w:sz w:val="24"/>
          <w:szCs w:val="24"/>
          <w:highlight w:val="none"/>
        </w:rPr>
        <w:t>出现下列情形之一的，采购人或者采购代理机构应当终止竞争性磋商采购活动，发布项目终止公告并说明原因，重新开展采购活动：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（1）因情况变化，不再符合规定的竞争性磋商采购方式适用情形的；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（2）出现影响采购公正的违法、违规行为的；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3）除《政府采购竞争性磋商采购方式管理暂行办法》（财库〔2014〕214号）第二十一条第三款和《财政部关于政府采购竞争性磋商采购方式管理暂行办法有关问题的补充通知》（财库〔2015〕124号）文件规定的情形外，在采购过程中符合要求的供应商或者报价未超过采购预算的供应商不足3家的。</w:t>
      </w:r>
    </w:p>
    <w:p w14:paraId="6595D3C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18.1.2除采购任务取消情形外，应当重新组织采购活动；需要采取其他方式采购的，需要批准的应当在采购活动开始前获得批准。</w:t>
      </w:r>
    </w:p>
    <w:p w14:paraId="7FEBB5B6">
      <w:pPr>
        <w:pStyle w:val="6"/>
        <w:spacing w:after="0" w:line="360" w:lineRule="auto"/>
        <w:ind w:firstLine="482" w:firstLineChars="200"/>
        <w:rPr>
          <w:rFonts w:ascii="宋体" w:hAnsi="宋体" w:eastAsia="宋体" w:cs="宋体"/>
          <w:b/>
          <w:color w:val="auto"/>
          <w:sz w:val="24"/>
          <w:highlight w:val="none"/>
          <w:lang w:val="en-US"/>
        </w:rPr>
      </w:pPr>
      <w:r>
        <w:rPr>
          <w:rFonts w:hint="eastAsia" w:ascii="宋体" w:hAnsi="宋体" w:eastAsia="宋体" w:cs="宋体"/>
          <w:b/>
          <w:color w:val="auto"/>
          <w:sz w:val="24"/>
          <w:highlight w:val="none"/>
          <w:lang w:val="en-US"/>
        </w:rPr>
        <w:t>18.2终止采购</w:t>
      </w:r>
    </w:p>
    <w:p w14:paraId="7621C0B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18.2.1在采购活动中因重大变故，采购任务取消的，采购人应当终止采购活动，通知所有参加采购活动的供应商。已经收取磋商保证金的，采购人将及时退还所收取的磋商保证金。</w:t>
      </w:r>
    </w:p>
    <w:p w14:paraId="37F9AF5E">
      <w:pPr>
        <w:spacing w:line="360" w:lineRule="auto"/>
        <w:ind w:firstLine="437"/>
        <w:outlineLvl w:val="2"/>
        <w:rPr>
          <w:rFonts w:ascii="宋体" w:hAnsi="宋体" w:eastAsia="宋体" w:cs="宋体"/>
          <w:b/>
          <w:color w:val="auto"/>
          <w:sz w:val="24"/>
          <w:highlight w:val="none"/>
        </w:rPr>
      </w:pPr>
      <w:bookmarkStart w:id="112" w:name="_Toc49"/>
      <w:r>
        <w:rPr>
          <w:rFonts w:hint="eastAsia" w:ascii="宋体" w:hAnsi="宋体" w:eastAsia="宋体" w:cs="宋体"/>
          <w:b/>
          <w:color w:val="auto"/>
          <w:sz w:val="24"/>
          <w:highlight w:val="none"/>
        </w:rPr>
        <w:t>19.响应文件的澄清、说明或更正</w:t>
      </w:r>
      <w:bookmarkEnd w:id="112"/>
    </w:p>
    <w:p w14:paraId="67E3383D">
      <w:pPr>
        <w:spacing w:line="360" w:lineRule="auto"/>
        <w:ind w:firstLine="470" w:firstLineChars="196"/>
        <w:rPr>
          <w:rFonts w:ascii="宋体" w:hAnsi="宋体" w:eastAsia="宋体" w:cs="宋体"/>
          <w:color w:val="auto"/>
          <w:sz w:val="24"/>
          <w:highlight w:val="none"/>
        </w:rPr>
      </w:pPr>
      <w:r>
        <w:rPr>
          <w:rFonts w:hint="eastAsia" w:ascii="宋体" w:hAnsi="宋体" w:eastAsia="宋体" w:cs="宋体"/>
          <w:color w:val="auto"/>
          <w:sz w:val="24"/>
          <w:highlight w:val="none"/>
        </w:rPr>
        <w:t>19.1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2F0DA54F">
      <w:pPr>
        <w:spacing w:line="360" w:lineRule="auto"/>
        <w:ind w:firstLine="470" w:firstLineChars="196"/>
        <w:rPr>
          <w:rFonts w:ascii="宋体" w:hAnsi="宋体" w:eastAsia="宋体" w:cs="宋体"/>
          <w:color w:val="auto"/>
          <w:sz w:val="24"/>
          <w:highlight w:val="none"/>
        </w:rPr>
      </w:pPr>
      <w:r>
        <w:rPr>
          <w:rFonts w:hint="eastAsia" w:ascii="宋体" w:hAnsi="宋体" w:eastAsia="宋体" w:cs="宋体"/>
          <w:color w:val="auto"/>
          <w:sz w:val="24"/>
          <w:highlight w:val="none"/>
        </w:rPr>
        <w:t>19.2磋商小组要求供应商澄清、说明或者更正响应文件应当以书面形式（询标）作出。供应商的澄清、说明或者更正应当由法定代表人或其授权代表签字或者加盖公章。</w:t>
      </w:r>
    </w:p>
    <w:p w14:paraId="53DFDCBD">
      <w:pPr>
        <w:spacing w:line="360" w:lineRule="auto"/>
        <w:ind w:firstLine="435"/>
        <w:rPr>
          <w:rFonts w:ascii="宋体" w:hAnsi="宋体" w:eastAsia="宋体" w:cs="宋体"/>
          <w:color w:val="auto"/>
          <w:sz w:val="24"/>
          <w:highlight w:val="none"/>
        </w:rPr>
      </w:pPr>
      <w:r>
        <w:rPr>
          <w:rFonts w:hint="default" w:ascii="Times New Roman" w:hAnsi="Times New Roman" w:eastAsia="宋体" w:cs="Times New Roman"/>
          <w:b/>
          <w:color w:val="auto"/>
          <w:sz w:val="24"/>
          <w:highlight w:val="none"/>
        </w:rPr>
        <w:t>如有询标，授权代表（或法定代表人）凭本人有效身份证明参加询标。因授权代表联系不上</w:t>
      </w:r>
      <w:r>
        <w:rPr>
          <w:rFonts w:hint="default" w:ascii="Times New Roman" w:hAnsi="Times New Roman" w:eastAsia="宋体" w:cs="Times New Roman"/>
          <w:b/>
          <w:bCs/>
          <w:color w:val="auto"/>
          <w:sz w:val="24"/>
          <w:highlight w:val="none"/>
        </w:rPr>
        <w:t>等情形</w:t>
      </w:r>
      <w:r>
        <w:rPr>
          <w:rFonts w:hint="default" w:ascii="Times New Roman" w:hAnsi="Times New Roman" w:eastAsia="宋体" w:cs="Times New Roman"/>
          <w:b/>
          <w:color w:val="auto"/>
          <w:sz w:val="24"/>
          <w:highlight w:val="none"/>
        </w:rPr>
        <w:t>而无法接受磋商小组询标的，供应商自行承担相关风险。</w:t>
      </w:r>
    </w:p>
    <w:p w14:paraId="22E0BF87">
      <w:pPr>
        <w:spacing w:line="360" w:lineRule="auto"/>
        <w:ind w:firstLine="437"/>
        <w:outlineLvl w:val="2"/>
        <w:rPr>
          <w:rFonts w:ascii="宋体" w:hAnsi="宋体" w:eastAsia="宋体" w:cs="宋体"/>
          <w:b/>
          <w:color w:val="auto"/>
          <w:sz w:val="24"/>
          <w:highlight w:val="none"/>
        </w:rPr>
      </w:pPr>
      <w:bookmarkStart w:id="113" w:name="_Toc17745"/>
      <w:r>
        <w:rPr>
          <w:rFonts w:hint="eastAsia" w:ascii="宋体" w:hAnsi="宋体" w:eastAsia="宋体" w:cs="宋体"/>
          <w:b/>
          <w:color w:val="auto"/>
          <w:sz w:val="24"/>
          <w:highlight w:val="none"/>
        </w:rPr>
        <w:t>20.最后报价</w:t>
      </w:r>
      <w:bookmarkEnd w:id="113"/>
    </w:p>
    <w:p w14:paraId="0064CBF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20.1磋商并不限定只进行二轮报价，如果磋商小组认为有必要，可以要求供应商进行多轮报价。</w:t>
      </w:r>
    </w:p>
    <w:p w14:paraId="71DCD82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20.2在磋商内容不做实质性变更或重大调整的前提下，供应商下轮报价不得高于上一轮报价。</w:t>
      </w:r>
    </w:p>
    <w:p w14:paraId="5AAF337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20.3最后报价是供应商响应文件的有效组成部分，最后报价也是签订合同的依据。</w:t>
      </w:r>
    </w:p>
    <w:p w14:paraId="397A240C">
      <w:pPr>
        <w:spacing w:line="360" w:lineRule="auto"/>
        <w:ind w:firstLine="437"/>
        <w:outlineLvl w:val="2"/>
        <w:rPr>
          <w:rFonts w:ascii="宋体" w:hAnsi="宋体" w:eastAsia="宋体" w:cs="宋体"/>
          <w:b/>
          <w:color w:val="auto"/>
          <w:sz w:val="24"/>
          <w:highlight w:val="none"/>
        </w:rPr>
      </w:pPr>
      <w:bookmarkStart w:id="114" w:name="_Toc4706"/>
      <w:r>
        <w:rPr>
          <w:rFonts w:hint="eastAsia" w:ascii="宋体" w:hAnsi="宋体" w:eastAsia="宋体" w:cs="宋体"/>
          <w:b/>
          <w:color w:val="auto"/>
          <w:sz w:val="24"/>
          <w:highlight w:val="none"/>
        </w:rPr>
        <w:t>21.成交候选供应商的推荐原则及标准</w:t>
      </w:r>
      <w:bookmarkEnd w:id="114"/>
    </w:p>
    <w:p w14:paraId="287C31C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21.1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通过以上方式无法确定排序的，采取磋商小组随机抽取的方式确定成交候选顺序。</w:t>
      </w:r>
    </w:p>
    <w:p w14:paraId="44A79DEB">
      <w:pPr>
        <w:spacing w:line="360" w:lineRule="auto"/>
        <w:ind w:firstLine="435"/>
        <w:outlineLvl w:val="2"/>
        <w:rPr>
          <w:rFonts w:ascii="宋体" w:hAnsi="宋体" w:eastAsia="宋体" w:cs="宋体"/>
          <w:b/>
          <w:color w:val="auto"/>
          <w:sz w:val="24"/>
          <w:highlight w:val="none"/>
        </w:rPr>
      </w:pPr>
      <w:bookmarkStart w:id="115" w:name="_Toc27666"/>
      <w:r>
        <w:rPr>
          <w:rFonts w:hint="eastAsia" w:ascii="宋体" w:hAnsi="宋体" w:eastAsia="宋体" w:cs="宋体"/>
          <w:b/>
          <w:color w:val="auto"/>
          <w:sz w:val="24"/>
          <w:highlight w:val="none"/>
        </w:rPr>
        <w:t>22.确定成交候选供应商和成交供应商</w:t>
      </w:r>
      <w:bookmarkEnd w:id="115"/>
    </w:p>
    <w:p w14:paraId="3DC00A9A">
      <w:pPr>
        <w:spacing w:line="360" w:lineRule="auto"/>
        <w:ind w:firstLine="470" w:firstLineChars="196"/>
        <w:rPr>
          <w:rFonts w:ascii="宋体" w:hAnsi="宋体" w:eastAsia="宋体" w:cs="宋体"/>
          <w:color w:val="auto"/>
          <w:sz w:val="24"/>
          <w:highlight w:val="none"/>
        </w:rPr>
      </w:pPr>
      <w:r>
        <w:rPr>
          <w:rFonts w:hint="eastAsia" w:ascii="宋体" w:hAnsi="宋体" w:eastAsia="宋体" w:cs="宋体"/>
          <w:color w:val="auto"/>
          <w:sz w:val="24"/>
          <w:highlight w:val="none"/>
        </w:rPr>
        <w:t>22.1磋商小组根据综合评分的结果和</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中规定确定成交候选供应商，并标明排列顺序。按</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中规定，由磋商小组或采购人确定成交供应商。</w:t>
      </w:r>
    </w:p>
    <w:p w14:paraId="564E3679">
      <w:pPr>
        <w:spacing w:line="360" w:lineRule="auto"/>
        <w:ind w:firstLine="437"/>
        <w:outlineLvl w:val="2"/>
        <w:rPr>
          <w:rFonts w:ascii="宋体" w:hAnsi="宋体" w:eastAsia="宋体" w:cs="宋体"/>
          <w:b/>
          <w:color w:val="auto"/>
          <w:sz w:val="24"/>
          <w:highlight w:val="none"/>
        </w:rPr>
      </w:pPr>
      <w:bookmarkStart w:id="116" w:name="_Toc6607"/>
      <w:r>
        <w:rPr>
          <w:rFonts w:hint="eastAsia" w:ascii="宋体" w:hAnsi="宋体" w:eastAsia="宋体" w:cs="宋体"/>
          <w:b/>
          <w:color w:val="auto"/>
          <w:sz w:val="24"/>
          <w:highlight w:val="none"/>
        </w:rPr>
        <w:t>23.编写评审报告</w:t>
      </w:r>
      <w:bookmarkEnd w:id="116"/>
    </w:p>
    <w:p w14:paraId="6F7F0B1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064900AB">
      <w:pPr>
        <w:spacing w:line="360" w:lineRule="auto"/>
        <w:ind w:firstLine="437"/>
        <w:outlineLvl w:val="2"/>
        <w:rPr>
          <w:rFonts w:ascii="宋体" w:hAnsi="宋体" w:eastAsia="宋体" w:cs="宋体"/>
          <w:b/>
          <w:color w:val="auto"/>
          <w:sz w:val="24"/>
          <w:highlight w:val="none"/>
        </w:rPr>
      </w:pPr>
      <w:bookmarkStart w:id="117" w:name="_Toc10204"/>
      <w:r>
        <w:rPr>
          <w:rFonts w:hint="eastAsia" w:ascii="宋体" w:hAnsi="宋体" w:eastAsia="宋体" w:cs="宋体"/>
          <w:b/>
          <w:color w:val="auto"/>
          <w:sz w:val="24"/>
          <w:highlight w:val="none"/>
        </w:rPr>
        <w:t>24.保密要求</w:t>
      </w:r>
      <w:bookmarkEnd w:id="117"/>
    </w:p>
    <w:p w14:paraId="05D2775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24.1评审将在严格保密的情况下进行。</w:t>
      </w:r>
    </w:p>
    <w:p w14:paraId="0AB582F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24.2有关人员应当遵守评审工作纪律，不得泄露评审文件、评审情况和评审中获悉的国家秘密、商业秘密。</w:t>
      </w:r>
    </w:p>
    <w:p w14:paraId="57B9AAD1">
      <w:pPr>
        <w:spacing w:line="360" w:lineRule="auto"/>
        <w:ind w:firstLine="437"/>
        <w:outlineLvl w:val="2"/>
        <w:rPr>
          <w:rFonts w:ascii="宋体" w:hAnsi="宋体" w:eastAsia="宋体" w:cs="宋体"/>
          <w:b/>
          <w:color w:val="auto"/>
          <w:sz w:val="24"/>
          <w:highlight w:val="none"/>
        </w:rPr>
      </w:pPr>
      <w:bookmarkStart w:id="118" w:name="_Toc8406"/>
      <w:r>
        <w:rPr>
          <w:rFonts w:hint="eastAsia" w:ascii="宋体" w:hAnsi="宋体" w:eastAsia="宋体" w:cs="宋体"/>
          <w:b/>
          <w:color w:val="auto"/>
          <w:sz w:val="24"/>
          <w:highlight w:val="none"/>
        </w:rPr>
        <w:t>25.合同授予与成交结果公告</w:t>
      </w:r>
      <w:bookmarkEnd w:id="118"/>
    </w:p>
    <w:p w14:paraId="42305137">
      <w:pPr>
        <w:pStyle w:val="6"/>
        <w:spacing w:after="0" w:line="360" w:lineRule="auto"/>
        <w:ind w:firstLine="481"/>
        <w:rPr>
          <w:rFonts w:ascii="宋体" w:hAnsi="宋体" w:eastAsia="宋体" w:cs="宋体"/>
          <w:b/>
          <w:color w:val="auto"/>
          <w:sz w:val="24"/>
          <w:highlight w:val="none"/>
          <w:lang w:val="en-US"/>
        </w:rPr>
      </w:pPr>
      <w:r>
        <w:rPr>
          <w:rFonts w:hint="eastAsia" w:ascii="宋体" w:hAnsi="宋体" w:eastAsia="宋体" w:cs="宋体"/>
          <w:b/>
          <w:color w:val="auto"/>
          <w:sz w:val="24"/>
          <w:highlight w:val="none"/>
          <w:lang w:val="en-US"/>
        </w:rPr>
        <w:t>25.1确定成交供应商</w:t>
      </w:r>
    </w:p>
    <w:p w14:paraId="3EC77AD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25.1.1 按照供应商须知前附表规定，采购人或采购人委托的评审委</w:t>
      </w:r>
      <w:r>
        <w:rPr>
          <w:rFonts w:hint="eastAsia" w:ascii="宋体" w:hAnsi="宋体" w:eastAsia="宋体" w:cs="宋体"/>
          <w:color w:val="auto"/>
          <w:sz w:val="24"/>
          <w:highlight w:val="none"/>
          <w:lang w:eastAsia="zh-CN"/>
        </w:rPr>
        <w:t>员会</w:t>
      </w:r>
      <w:r>
        <w:rPr>
          <w:rFonts w:hint="eastAsia" w:ascii="宋体" w:hAnsi="宋体" w:eastAsia="宋体" w:cs="宋体"/>
          <w:color w:val="auto"/>
          <w:sz w:val="24"/>
          <w:highlight w:val="none"/>
        </w:rPr>
        <w:t>在评审报告确定的成交候选人名单中按顺序确定成交供应商。成交候选人并列的，由采购人或者采购人委托磋商小组按照竞争性磋商文件规定的方式确定成交供应商；竞争性磋商文件未规定的，采取随机抽取的方式确定。</w:t>
      </w:r>
    </w:p>
    <w:p w14:paraId="3E6B7ACD">
      <w:pPr>
        <w:pStyle w:val="6"/>
        <w:spacing w:after="0" w:line="360" w:lineRule="auto"/>
        <w:ind w:firstLine="481"/>
        <w:rPr>
          <w:rFonts w:ascii="宋体" w:hAnsi="宋体" w:eastAsia="宋体" w:cs="宋体"/>
          <w:b/>
          <w:color w:val="auto"/>
          <w:sz w:val="24"/>
          <w:highlight w:val="none"/>
          <w:lang w:val="en-US"/>
        </w:rPr>
      </w:pPr>
      <w:r>
        <w:rPr>
          <w:rFonts w:hint="eastAsia" w:ascii="宋体" w:hAnsi="宋体" w:eastAsia="宋体" w:cs="宋体"/>
          <w:b/>
          <w:color w:val="auto"/>
          <w:sz w:val="24"/>
          <w:highlight w:val="none"/>
          <w:lang w:val="en-US"/>
        </w:rPr>
        <w:t>25.2成交结果公告</w:t>
      </w:r>
    </w:p>
    <w:p w14:paraId="117F6CB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25.2.1为体现“公开、公平、公正”的原则，磋商结束后，</w:t>
      </w:r>
      <w:r>
        <w:rPr>
          <w:rFonts w:hint="eastAsia" w:ascii="宋体" w:hAnsi="宋体" w:eastAsia="宋体" w:cs="宋体"/>
          <w:color w:val="auto"/>
          <w:sz w:val="24"/>
          <w:szCs w:val="18"/>
          <w:highlight w:val="none"/>
        </w:rPr>
        <w:t>采购代理机构将在</w:t>
      </w:r>
      <w:r>
        <w:rPr>
          <w:rFonts w:hint="eastAsia" w:asciiTheme="minorEastAsia" w:hAnsiTheme="minorEastAsia" w:eastAsiaTheme="minorEastAsia" w:cstheme="minorEastAsia"/>
          <w:sz w:val="24"/>
          <w:szCs w:val="24"/>
          <w:highlight w:val="none"/>
          <w:lang w:val="en-US" w:eastAsia="zh-CN"/>
        </w:rPr>
        <w:t>指定媒介</w:t>
      </w:r>
      <w:r>
        <w:rPr>
          <w:rFonts w:hint="eastAsia" w:ascii="宋体" w:hAnsi="宋体" w:eastAsia="宋体" w:cs="宋体"/>
          <w:color w:val="auto"/>
          <w:sz w:val="24"/>
          <w:highlight w:val="none"/>
        </w:rPr>
        <w:t>上发布成交结果公告。</w:t>
      </w:r>
    </w:p>
    <w:p w14:paraId="16E5053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25.2.2成交结果公告内容应当包括采购人及其委托的采购代理机构的名称、地址、联系方式，项目名称和项目编号，成交供应商名称、地址和成交金额，主要成交标的的名称、服务范围、服务要求、服务时间、服务标准，成交结果公告期限、评审专家名单、成交供应商的评审总得分以及</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中约定进行公告的内容。</w:t>
      </w:r>
    </w:p>
    <w:p w14:paraId="67742C01">
      <w:pPr>
        <w:spacing w:line="360" w:lineRule="auto"/>
        <w:ind w:firstLine="437"/>
        <w:outlineLvl w:val="2"/>
        <w:rPr>
          <w:rFonts w:ascii="宋体" w:hAnsi="宋体" w:eastAsia="宋体" w:cs="宋体"/>
          <w:b/>
          <w:color w:val="auto"/>
          <w:sz w:val="24"/>
          <w:highlight w:val="none"/>
        </w:rPr>
      </w:pPr>
      <w:bookmarkStart w:id="119" w:name="_Toc20920"/>
      <w:r>
        <w:rPr>
          <w:rFonts w:hint="eastAsia" w:ascii="宋体" w:hAnsi="宋体" w:eastAsia="宋体" w:cs="宋体"/>
          <w:b/>
          <w:color w:val="auto"/>
          <w:sz w:val="24"/>
          <w:highlight w:val="none"/>
        </w:rPr>
        <w:t>26.成交通知书</w:t>
      </w:r>
      <w:bookmarkEnd w:id="119"/>
    </w:p>
    <w:p w14:paraId="312DF0D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26.1采购代理机构发布成交结果公告的同时以</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规定的形式向成交供应商发出成交通知书。</w:t>
      </w:r>
    </w:p>
    <w:p w14:paraId="6E2F6E8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26.2成交通知书对采购人和成交供应商具有同等法律效力。成交通知书发出以后，采购人改变成交结果或者成交供应商放弃成交资格，应当承担相应的法律责任。</w:t>
      </w:r>
    </w:p>
    <w:p w14:paraId="2FE9333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26.3成交通知书是合同的组成部分。</w:t>
      </w:r>
    </w:p>
    <w:p w14:paraId="4C6FDBC5">
      <w:pPr>
        <w:spacing w:line="360" w:lineRule="auto"/>
        <w:ind w:firstLine="437"/>
        <w:outlineLvl w:val="2"/>
        <w:rPr>
          <w:rFonts w:ascii="宋体" w:hAnsi="宋体" w:eastAsia="宋体" w:cs="宋体"/>
          <w:b/>
          <w:color w:val="auto"/>
          <w:sz w:val="24"/>
          <w:highlight w:val="none"/>
        </w:rPr>
      </w:pPr>
      <w:bookmarkStart w:id="120" w:name="_Toc7184"/>
      <w:r>
        <w:rPr>
          <w:rFonts w:hint="eastAsia" w:ascii="宋体" w:hAnsi="宋体" w:eastAsia="宋体" w:cs="宋体"/>
          <w:b/>
          <w:color w:val="auto"/>
          <w:sz w:val="24"/>
          <w:highlight w:val="none"/>
        </w:rPr>
        <w:t>27.告知磋商结果</w:t>
      </w:r>
      <w:bookmarkEnd w:id="120"/>
    </w:p>
    <w:p w14:paraId="2BA86B4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27.1在公告成交结果的同时，采购代理机构同时以</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规定的形式告知未成交供应商本人的评审得分和排序。</w:t>
      </w:r>
    </w:p>
    <w:p w14:paraId="5908FBB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27.2采购代理机构对未成交的供应商不做未成交原因的解释。</w:t>
      </w:r>
    </w:p>
    <w:p w14:paraId="0DA5A152">
      <w:pPr>
        <w:spacing w:line="360" w:lineRule="auto"/>
        <w:ind w:firstLine="437"/>
        <w:outlineLvl w:val="2"/>
        <w:rPr>
          <w:rFonts w:ascii="宋体" w:hAnsi="宋体" w:eastAsia="宋体" w:cs="宋体"/>
          <w:b/>
          <w:color w:val="auto"/>
          <w:sz w:val="24"/>
          <w:highlight w:val="none"/>
        </w:rPr>
      </w:pPr>
      <w:bookmarkStart w:id="121" w:name="_Toc21700"/>
      <w:r>
        <w:rPr>
          <w:rFonts w:hint="eastAsia" w:ascii="宋体" w:hAnsi="宋体" w:eastAsia="宋体" w:cs="宋体"/>
          <w:b/>
          <w:color w:val="auto"/>
          <w:sz w:val="24"/>
          <w:highlight w:val="none"/>
        </w:rPr>
        <w:t>28.履约保证金</w:t>
      </w:r>
      <w:bookmarkEnd w:id="121"/>
    </w:p>
    <w:p w14:paraId="701EB0A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28.1成交供应商应按照</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规定缴纳履约保证金。</w:t>
      </w:r>
    </w:p>
    <w:p w14:paraId="4627F7F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28.2如果成交供应商没有按照上述履约保证金的规定执行，将视为放弃成交资格。在此情况下，采购人可确定下一成交候选供应商为成交供应商，也可以重新开展采购活动。</w:t>
      </w:r>
    </w:p>
    <w:p w14:paraId="005BD0DD">
      <w:pPr>
        <w:spacing w:line="360" w:lineRule="auto"/>
        <w:ind w:firstLine="437"/>
        <w:outlineLvl w:val="2"/>
        <w:rPr>
          <w:rFonts w:ascii="宋体" w:hAnsi="宋体" w:eastAsia="宋体" w:cs="宋体"/>
          <w:b/>
          <w:color w:val="auto"/>
          <w:sz w:val="24"/>
          <w:highlight w:val="none"/>
        </w:rPr>
      </w:pPr>
      <w:bookmarkStart w:id="122" w:name="_Toc5986"/>
      <w:r>
        <w:rPr>
          <w:rFonts w:hint="eastAsia" w:ascii="宋体" w:hAnsi="宋体" w:eastAsia="宋体" w:cs="宋体"/>
          <w:b/>
          <w:color w:val="auto"/>
          <w:sz w:val="24"/>
          <w:highlight w:val="none"/>
        </w:rPr>
        <w:t>29.成交服务费</w:t>
      </w:r>
      <w:bookmarkEnd w:id="122"/>
    </w:p>
    <w:p w14:paraId="111FF82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29.1本项目成交服务费的收取按</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的规定执行。</w:t>
      </w:r>
    </w:p>
    <w:p w14:paraId="597B3466">
      <w:pPr>
        <w:spacing w:line="360" w:lineRule="auto"/>
        <w:ind w:firstLine="437"/>
        <w:outlineLvl w:val="2"/>
        <w:rPr>
          <w:rFonts w:ascii="宋体" w:hAnsi="宋体" w:eastAsia="宋体" w:cs="宋体"/>
          <w:b/>
          <w:color w:val="auto"/>
          <w:sz w:val="24"/>
          <w:highlight w:val="none"/>
        </w:rPr>
      </w:pPr>
      <w:bookmarkStart w:id="123" w:name="_Toc11655"/>
      <w:r>
        <w:rPr>
          <w:rFonts w:hint="eastAsia" w:ascii="宋体" w:hAnsi="宋体" w:eastAsia="宋体" w:cs="宋体"/>
          <w:b/>
          <w:color w:val="auto"/>
          <w:sz w:val="24"/>
          <w:highlight w:val="none"/>
        </w:rPr>
        <w:t>30.签订合同</w:t>
      </w:r>
      <w:bookmarkEnd w:id="123"/>
    </w:p>
    <w:p w14:paraId="2A7E40E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30.1采购人与成交供应商应当</w:t>
      </w:r>
      <w:r>
        <w:rPr>
          <w:rFonts w:hint="eastAsia" w:ascii="宋体" w:hAnsi="宋体" w:eastAsia="宋体" w:cs="宋体"/>
          <w:color w:val="auto"/>
          <w:sz w:val="24"/>
          <w:highlight w:val="none"/>
          <w:lang w:val="en-US" w:eastAsia="zh-CN"/>
        </w:rPr>
        <w:t>在</w:t>
      </w:r>
      <w:r>
        <w:rPr>
          <w:rFonts w:hint="eastAsia" w:ascii="宋体" w:hAnsi="宋体" w:eastAsia="宋体" w:cs="宋体"/>
          <w:color w:val="auto"/>
          <w:sz w:val="24"/>
          <w:highlight w:val="none"/>
        </w:rPr>
        <w:t>规定的时间内完成政府采购合同签订及合同公告。所签订的合同不得对竞争性磋商文件确定的事项和成交供应商响应文件作实质性修改。成交供应商无正当理由拒签合同，在签订合同时向采购人提出附加条件的，采购人有权取消其成交资格，给采购人</w:t>
      </w:r>
      <w:r>
        <w:rPr>
          <w:rFonts w:hint="eastAsia" w:ascii="宋体" w:hAnsi="宋体" w:eastAsia="宋体" w:cs="宋体"/>
          <w:color w:val="auto"/>
          <w:sz w:val="24"/>
          <w:highlight w:val="none"/>
          <w:lang w:eastAsia="zh-CN"/>
        </w:rPr>
        <w:t>造成</w:t>
      </w:r>
      <w:r>
        <w:rPr>
          <w:rFonts w:hint="eastAsia" w:ascii="宋体" w:hAnsi="宋体" w:eastAsia="宋体" w:cs="宋体"/>
          <w:color w:val="auto"/>
          <w:sz w:val="24"/>
          <w:highlight w:val="none"/>
        </w:rPr>
        <w:t>损失的，成交供应商还应当予以赔偿。</w:t>
      </w:r>
    </w:p>
    <w:p w14:paraId="14E7A89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30.2磋商文件、成交供应商的响应文件及其澄清文件等，均为签订合同的依据。</w:t>
      </w:r>
    </w:p>
    <w:p w14:paraId="1E394C8A">
      <w:pPr>
        <w:spacing w:line="360" w:lineRule="auto"/>
        <w:ind w:firstLine="470" w:firstLineChars="196"/>
        <w:rPr>
          <w:rFonts w:ascii="宋体" w:hAnsi="宋体" w:eastAsia="宋体" w:cs="宋体"/>
          <w:color w:val="auto"/>
          <w:sz w:val="24"/>
          <w:highlight w:val="none"/>
        </w:rPr>
      </w:pPr>
      <w:r>
        <w:rPr>
          <w:rFonts w:hint="eastAsia" w:ascii="宋体" w:hAnsi="宋体" w:eastAsia="宋体" w:cs="宋体"/>
          <w:color w:val="auto"/>
          <w:sz w:val="24"/>
          <w:highlight w:val="none"/>
        </w:rPr>
        <w:t>30.3因成交供应商原因未签订合同的</w:t>
      </w:r>
      <w:r>
        <w:rPr>
          <w:rFonts w:hint="eastAsia" w:ascii="宋体" w:hAnsi="宋体" w:eastAsia="宋体" w:cs="宋体"/>
          <w:color w:val="auto"/>
          <w:szCs w:val="21"/>
          <w:highlight w:val="none"/>
        </w:rPr>
        <w:t>，</w:t>
      </w:r>
      <w:r>
        <w:rPr>
          <w:rFonts w:hint="eastAsia" w:ascii="宋体" w:hAnsi="宋体" w:eastAsia="宋体" w:cs="宋体"/>
          <w:color w:val="auto"/>
          <w:sz w:val="24"/>
          <w:highlight w:val="none"/>
        </w:rPr>
        <w:t>采购人可以按照评审报告推荐的成交候选供应商名单排序，确定下一成交候选供应商为成交供应商，也可以重新开展采购活动。成交供应商拒绝签订政府采购合同的不得参加对该项目重新开展的采购活动。</w:t>
      </w:r>
    </w:p>
    <w:p w14:paraId="448B309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30.4发出成交通知书后，采购人无正当理由拒签合同的，按照相关规定予以处理。</w:t>
      </w:r>
    </w:p>
    <w:p w14:paraId="1AC64D5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30.5 联合体成交的，联合体各方应当共同与采购人签订合同，就成交项目向采购人承担连带责任。</w:t>
      </w:r>
    </w:p>
    <w:p w14:paraId="669107E5">
      <w:pPr>
        <w:spacing w:line="360" w:lineRule="auto"/>
        <w:ind w:firstLine="437"/>
        <w:outlineLvl w:val="2"/>
        <w:rPr>
          <w:rFonts w:ascii="宋体" w:hAnsi="宋体" w:eastAsia="宋体" w:cs="宋体"/>
          <w:b/>
          <w:color w:val="auto"/>
          <w:sz w:val="24"/>
          <w:highlight w:val="none"/>
        </w:rPr>
      </w:pPr>
      <w:bookmarkStart w:id="124" w:name="_Toc9358"/>
      <w:r>
        <w:rPr>
          <w:rFonts w:hint="eastAsia" w:ascii="宋体" w:hAnsi="宋体" w:eastAsia="宋体" w:cs="宋体"/>
          <w:b/>
          <w:color w:val="auto"/>
          <w:sz w:val="24"/>
          <w:highlight w:val="none"/>
        </w:rPr>
        <w:t>31.纪律与监督</w:t>
      </w:r>
      <w:bookmarkEnd w:id="124"/>
    </w:p>
    <w:p w14:paraId="0E75F5B3">
      <w:pPr>
        <w:spacing w:line="360" w:lineRule="auto"/>
        <w:ind w:firstLine="435"/>
        <w:rPr>
          <w:rFonts w:ascii="宋体" w:hAnsi="宋体" w:eastAsia="宋体" w:cs="宋体"/>
          <w:b/>
          <w:bCs/>
          <w:color w:val="auto"/>
          <w:sz w:val="24"/>
          <w:highlight w:val="none"/>
        </w:rPr>
      </w:pPr>
      <w:r>
        <w:rPr>
          <w:rFonts w:hint="eastAsia" w:ascii="宋体" w:hAnsi="宋体" w:eastAsia="宋体" w:cs="宋体"/>
          <w:b/>
          <w:bCs/>
          <w:color w:val="auto"/>
          <w:sz w:val="24"/>
          <w:highlight w:val="none"/>
        </w:rPr>
        <w:t>31.1对采购人的纪律要求</w:t>
      </w:r>
    </w:p>
    <w:p w14:paraId="314F358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31.1.1采购人不得泄漏政府采购活动中应当保密的情况和资料，不得与供应商串通损害国家利益、社会公共利益或者他人合法权益。</w:t>
      </w:r>
    </w:p>
    <w:p w14:paraId="10942A48">
      <w:pPr>
        <w:spacing w:line="360" w:lineRule="auto"/>
        <w:ind w:firstLine="435"/>
        <w:rPr>
          <w:rFonts w:ascii="宋体" w:hAnsi="宋体" w:eastAsia="宋体" w:cs="宋体"/>
          <w:b/>
          <w:bCs/>
          <w:color w:val="auto"/>
          <w:sz w:val="24"/>
          <w:highlight w:val="none"/>
        </w:rPr>
      </w:pPr>
      <w:r>
        <w:rPr>
          <w:rFonts w:hint="eastAsia" w:ascii="宋体" w:hAnsi="宋体" w:eastAsia="宋体" w:cs="宋体"/>
          <w:b/>
          <w:bCs/>
          <w:color w:val="auto"/>
          <w:sz w:val="24"/>
          <w:highlight w:val="none"/>
        </w:rPr>
        <w:t>31.2对采购代理机构的纪律要求</w:t>
      </w:r>
    </w:p>
    <w:p w14:paraId="22FFBEC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31.2.1采购代理机构工作人员不得以不正当手段获取政府采购代理业务，不得与采购人、供应商恶意串通。</w:t>
      </w:r>
    </w:p>
    <w:p w14:paraId="24F2D1B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31.2.2采购代理机构工作人员不得接受采购人或者供应商组织的宴请、旅游、娱乐，不得收受礼品、现金、有价证券等，不得向采购人或者供应商报销应当由个人承担的费用。</w:t>
      </w:r>
    </w:p>
    <w:p w14:paraId="65035EF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31.2.3</w:t>
      </w:r>
      <w:bookmarkStart w:id="125" w:name="_Toc152042355"/>
      <w:r>
        <w:rPr>
          <w:rFonts w:hint="eastAsia" w:ascii="宋体" w:hAnsi="宋体" w:eastAsia="宋体" w:cs="宋体"/>
          <w:color w:val="auto"/>
          <w:sz w:val="24"/>
          <w:highlight w:val="none"/>
        </w:rPr>
        <w:t>与评审活动有关的工作人员不得向他人透漏对响应文件的评审和比较、成交候选人的推荐情况以及评审有关的其他情况。在评审活动中，与评审活动有关的工作人员不得擅离职守，影响评审程序正常进行。</w:t>
      </w:r>
      <w:bookmarkEnd w:id="125"/>
    </w:p>
    <w:p w14:paraId="37DC556E">
      <w:pPr>
        <w:spacing w:line="360" w:lineRule="auto"/>
        <w:ind w:firstLine="435"/>
        <w:rPr>
          <w:rFonts w:ascii="宋体" w:hAnsi="宋体" w:eastAsia="宋体" w:cs="宋体"/>
          <w:b/>
          <w:bCs/>
          <w:color w:val="auto"/>
          <w:sz w:val="24"/>
          <w:highlight w:val="none"/>
        </w:rPr>
      </w:pPr>
      <w:r>
        <w:rPr>
          <w:rFonts w:hint="eastAsia" w:ascii="宋体" w:hAnsi="宋体" w:eastAsia="宋体" w:cs="宋体"/>
          <w:b/>
          <w:bCs/>
          <w:color w:val="auto"/>
          <w:sz w:val="24"/>
          <w:highlight w:val="none"/>
        </w:rPr>
        <w:t>31.3对供应商的纪律要求</w:t>
      </w:r>
    </w:p>
    <w:p w14:paraId="5EFE24A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31.3.1供应商不得相互串通或者与采购人串通，不得向采购人或者磋商小组成员行贿谋取成交，不得以他人名义参加采购活动或者以其他方式弄虚作假骗取成交；供应商不得以任何方式干扰、影响评审工作。</w:t>
      </w:r>
    </w:p>
    <w:p w14:paraId="58E1BB85">
      <w:pPr>
        <w:spacing w:line="360" w:lineRule="auto"/>
        <w:ind w:firstLine="435"/>
        <w:rPr>
          <w:rFonts w:ascii="宋体" w:hAnsi="宋体" w:eastAsia="宋体" w:cs="宋体"/>
          <w:b/>
          <w:bCs/>
          <w:color w:val="auto"/>
          <w:sz w:val="24"/>
          <w:highlight w:val="none"/>
        </w:rPr>
      </w:pPr>
      <w:r>
        <w:rPr>
          <w:rFonts w:hint="eastAsia" w:ascii="宋体" w:hAnsi="宋体" w:eastAsia="宋体" w:cs="宋体"/>
          <w:b/>
          <w:bCs/>
          <w:color w:val="auto"/>
          <w:sz w:val="24"/>
          <w:highlight w:val="none"/>
        </w:rPr>
        <w:t>31.4对磋商小组成员的纪律要求</w:t>
      </w:r>
    </w:p>
    <w:p w14:paraId="1B0D393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31.4.1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14:paraId="04C9A76A">
      <w:pPr>
        <w:spacing w:line="360" w:lineRule="auto"/>
        <w:ind w:firstLine="435"/>
        <w:outlineLvl w:val="2"/>
        <w:rPr>
          <w:rFonts w:ascii="宋体" w:hAnsi="宋体" w:eastAsia="宋体" w:cs="宋体"/>
          <w:b/>
          <w:color w:val="auto"/>
          <w:sz w:val="24"/>
          <w:highlight w:val="none"/>
        </w:rPr>
      </w:pPr>
      <w:bookmarkStart w:id="126" w:name="_Toc22726"/>
      <w:r>
        <w:rPr>
          <w:rFonts w:hint="eastAsia" w:ascii="宋体" w:hAnsi="宋体" w:eastAsia="宋体" w:cs="宋体"/>
          <w:b/>
          <w:color w:val="auto"/>
          <w:sz w:val="24"/>
          <w:highlight w:val="none"/>
        </w:rPr>
        <w:t>32.质疑、投诉的提出与接收</w:t>
      </w:r>
      <w:bookmarkEnd w:id="126"/>
    </w:p>
    <w:p w14:paraId="38E170D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32.1供应商认为磋商文件、采购过程和成交结果使自己的权益受到损害的，可以在知道或者应知其权益受到损害之日起七个工作日内，以书面形式向采购人或其委托的采购代理机构提出质疑。</w:t>
      </w:r>
    </w:p>
    <w:p w14:paraId="198E823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32.2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019893F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32.3采购代理机构质疑函接收部门、联系电话和通讯地址，见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4398268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注：上述条款中所要求的书面形式包含通过电子</w:t>
      </w:r>
      <w:r>
        <w:rPr>
          <w:rFonts w:hint="eastAsia" w:ascii="宋体" w:hAnsi="宋体" w:eastAsia="宋体" w:cs="宋体"/>
          <w:color w:val="auto"/>
          <w:sz w:val="24"/>
          <w:highlight w:val="none"/>
          <w:lang w:eastAsia="zh-CN"/>
        </w:rPr>
        <w:t>邮箱</w:t>
      </w:r>
      <w:r>
        <w:rPr>
          <w:rFonts w:hint="eastAsia" w:ascii="宋体" w:hAnsi="宋体" w:eastAsia="宋体" w:cs="宋体"/>
          <w:color w:val="auto"/>
          <w:sz w:val="24"/>
          <w:highlight w:val="none"/>
        </w:rPr>
        <w:t>递交方式。</w:t>
      </w:r>
    </w:p>
    <w:p w14:paraId="4E649B1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32.4质疑答复以书面形式通知质疑供应商和其他有关供应商。但答复的内容不得涉及商业秘密。</w:t>
      </w:r>
    </w:p>
    <w:p w14:paraId="754B11E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32.5 采购人、采购代理机构认为供应商质疑不成立，或者成立但未对成交结果构成影响的，继续开展采购活动；认为供应商质疑成立且影响或者可能影响成交结果的，按照下列情况处理：</w:t>
      </w:r>
    </w:p>
    <w:p w14:paraId="2D603E3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（1）对竞争性磋商文件提出的质疑，依法通过澄清或者修改可以继续开展采购活动的，澄清或者修改采购文件后继续开展采购活动；否则应当修改竞争性磋商文件后重新开展采购活动。</w:t>
      </w:r>
    </w:p>
    <w:p w14:paraId="6396BFC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（2）对采购过程、成交结果提出的质疑，合格供应商符合法定数量时，可以从合格的成交候选人中另行确定成交供应商的，应当依法另行确定成交供应商；否则应当重新开展采购活动。</w:t>
      </w:r>
    </w:p>
    <w:p w14:paraId="2F4314B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质疑答复导致成交结果改变的，采购人或者采购代理机构应当将有关情况书面报告本级财政部门。</w:t>
      </w:r>
    </w:p>
    <w:p w14:paraId="2278266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32.6 因处理质疑发生的检验、检测、鉴定等费用，由提出申请的供应商先行垫付。质疑处理决定各方无异议后，按照“谁过错谁负担”的原则由承担责任的一方负担；双方都有责任的，由双方合理分担。</w:t>
      </w:r>
    </w:p>
    <w:p w14:paraId="22C1E6A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32.7 供应商不得以质疑为名进行虚假、恶意质疑，扰乱政府采购正常的工作秩序。供应商有下列情形之一的，属于虚假、恶意质疑，被质疑人应当驳回质疑，并向同级政府采购监督管理部门报告，将其列入不良行为记录名单，并依法予以处罚：</w:t>
      </w:r>
    </w:p>
    <w:p w14:paraId="1A40711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（1）一年内三次以上质疑均查无实据的；</w:t>
      </w:r>
    </w:p>
    <w:p w14:paraId="3C789C2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（2）捏造事实或者提供虚假质疑材料的；</w:t>
      </w:r>
    </w:p>
    <w:p w14:paraId="01926D8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（3）以非法手段取得证明材料。证明材料来源的合法性存在明显疑问，供应商无法证明其取得方式合法的，视为以非法手段取得证明材料。</w:t>
      </w:r>
    </w:p>
    <w:p w14:paraId="01860DF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32.8质疑供应商对质疑答复不满意，或采购人、采购代理机构未在规定时间内作出答复的，可以在答复期满后15个工作日内向同级政府采购监管部门提起投诉，投诉函接收部门、联系电话和通讯地址，见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1FFA6E9C">
      <w:pPr>
        <w:pStyle w:val="6"/>
        <w:spacing w:after="0" w:line="360" w:lineRule="auto"/>
        <w:ind w:firstLine="482" w:firstLineChars="200"/>
        <w:rPr>
          <w:rFonts w:ascii="宋体" w:hAnsi="宋体" w:eastAsia="宋体" w:cs="宋体"/>
          <w:b/>
          <w:color w:val="auto"/>
          <w:sz w:val="24"/>
          <w:highlight w:val="none"/>
        </w:rPr>
      </w:pPr>
      <w:bookmarkStart w:id="127" w:name="_Toc24353"/>
      <w:r>
        <w:rPr>
          <w:rFonts w:hint="eastAsia" w:ascii="宋体" w:hAnsi="宋体" w:eastAsia="宋体" w:cs="宋体"/>
          <w:b/>
          <w:color w:val="auto"/>
          <w:sz w:val="24"/>
          <w:highlight w:val="none"/>
        </w:rPr>
        <w:t>33.</w:t>
      </w:r>
      <w:bookmarkEnd w:id="127"/>
      <w:bookmarkStart w:id="128" w:name="_Toc22071"/>
      <w:r>
        <w:rPr>
          <w:rFonts w:hint="eastAsia" w:ascii="宋体" w:hAnsi="宋体" w:eastAsia="宋体" w:cs="宋体"/>
          <w:b/>
          <w:color w:val="auto"/>
          <w:sz w:val="24"/>
          <w:highlight w:val="none"/>
        </w:rPr>
        <w:t>需要补充的其他内容</w:t>
      </w:r>
      <w:bookmarkEnd w:id="128"/>
    </w:p>
    <w:p w14:paraId="17BF6D95">
      <w:pPr>
        <w:spacing w:line="360" w:lineRule="auto"/>
        <w:ind w:firstLine="435"/>
        <w:rPr>
          <w:rFonts w:ascii="宋体" w:hAnsi="宋体" w:eastAsia="宋体" w:cs="宋体"/>
          <w:color w:val="auto"/>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r>
        <w:rPr>
          <w:rFonts w:hint="eastAsia" w:ascii="宋体" w:hAnsi="宋体" w:eastAsia="宋体" w:cs="宋体"/>
          <w:color w:val="auto"/>
          <w:highlight w:val="none"/>
        </w:rPr>
        <w:br w:type="page"/>
      </w:r>
    </w:p>
    <w:p w14:paraId="7A54E96D">
      <w:pPr>
        <w:widowControl/>
        <w:spacing w:line="360" w:lineRule="auto"/>
        <w:jc w:val="center"/>
        <w:outlineLvl w:val="0"/>
        <w:rPr>
          <w:rStyle w:val="27"/>
          <w:rFonts w:hint="eastAsia" w:ascii="宋体" w:hAnsi="宋体" w:eastAsia="宋体" w:cs="宋体"/>
          <w:color w:val="auto"/>
          <w:highlight w:val="none"/>
        </w:rPr>
      </w:pPr>
      <w:bookmarkStart w:id="129" w:name="_Toc11057"/>
      <w:bookmarkStart w:id="130" w:name="_Toc23864"/>
      <w:bookmarkStart w:id="131" w:name="_Toc32746"/>
      <w:bookmarkStart w:id="132" w:name="_Toc26695"/>
      <w:bookmarkStart w:id="133" w:name="_Toc32682"/>
      <w:bookmarkStart w:id="134" w:name="_Toc28184"/>
      <w:bookmarkStart w:id="135" w:name="_Toc19440"/>
      <w:bookmarkStart w:id="136" w:name="_Toc11693"/>
      <w:bookmarkStart w:id="137" w:name="_Toc3401"/>
      <w:bookmarkStart w:id="138" w:name="_Toc15871"/>
      <w:bookmarkStart w:id="139" w:name="_Toc16574"/>
      <w:r>
        <w:rPr>
          <w:rStyle w:val="27"/>
          <w:rFonts w:hint="eastAsia" w:ascii="宋体" w:hAnsi="宋体" w:eastAsia="宋体" w:cs="宋体"/>
          <w:color w:val="auto"/>
          <w:highlight w:val="none"/>
        </w:rPr>
        <w:t>第三章  采购需求</w:t>
      </w:r>
      <w:bookmarkEnd w:id="129"/>
      <w:bookmarkEnd w:id="130"/>
      <w:bookmarkEnd w:id="131"/>
      <w:bookmarkEnd w:id="132"/>
      <w:bookmarkEnd w:id="133"/>
      <w:bookmarkEnd w:id="134"/>
      <w:bookmarkEnd w:id="135"/>
      <w:bookmarkEnd w:id="136"/>
      <w:bookmarkEnd w:id="137"/>
      <w:bookmarkEnd w:id="138"/>
      <w:bookmarkEnd w:id="139"/>
    </w:p>
    <w:p w14:paraId="3E72CE4A">
      <w:pPr>
        <w:spacing w:before="238" w:line="204" w:lineRule="auto"/>
        <w:ind w:firstLine="3960"/>
        <w:jc w:val="left"/>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5094" w14:cap="flat" w14:cmpd="sng">
            <w14:solidFill>
              <w14:srgbClr w14:val="000000"/>
            </w14:solidFill>
            <w14:prstDash w14:val="solid"/>
            <w14:miter w14:val="0"/>
          </w14:textOutline>
        </w:rPr>
        <w:t>前注：</w:t>
      </w:r>
    </w:p>
    <w:p w14:paraId="0D48BCF6">
      <w:pPr>
        <w:spacing w:before="276" w:line="359" w:lineRule="auto"/>
        <w:ind w:left="232" w:right="251" w:firstLine="435"/>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本说明中提出的技术方案仅为参考，如无明确限制，供应商可以进行优化，提供满足用户实际需要的更优（或者性能实质上不低于的）服务方案，且此方案须经磋商小组评审认</w:t>
      </w:r>
      <w:r>
        <w:rPr>
          <w:rFonts w:hint="eastAsia" w:asciiTheme="minorEastAsia" w:hAnsiTheme="minorEastAsia" w:eastAsiaTheme="minorEastAsia" w:cstheme="minorEastAsia"/>
          <w:spacing w:val="-85"/>
          <w:sz w:val="24"/>
          <w:szCs w:val="24"/>
          <w:highlight w:val="none"/>
        </w:rPr>
        <w:t xml:space="preserve"> </w:t>
      </w:r>
      <w:r>
        <w:rPr>
          <w:rFonts w:hint="eastAsia" w:asciiTheme="minorEastAsia" w:hAnsiTheme="minorEastAsia" w:eastAsiaTheme="minorEastAsia" w:cstheme="minorEastAsia"/>
          <w:spacing w:val="-2"/>
          <w:sz w:val="24"/>
          <w:szCs w:val="24"/>
          <w:highlight w:val="none"/>
        </w:rPr>
        <w:t>可。</w:t>
      </w:r>
    </w:p>
    <w:p w14:paraId="485E1DF4">
      <w:pPr>
        <w:pStyle w:val="22"/>
        <w:rPr>
          <w:highlight w:val="none"/>
        </w:rPr>
      </w:pPr>
    </w:p>
    <w:p w14:paraId="33A2019A">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37"/>
        <w:textAlignment w:val="auto"/>
        <w:rPr>
          <w:rFonts w:ascii="宋体" w:hAnsi="宋体" w:eastAsia="宋体" w:cs="宋体"/>
          <w:b/>
          <w:color w:val="auto"/>
          <w:sz w:val="24"/>
          <w:szCs w:val="18"/>
          <w:highlight w:val="none"/>
        </w:rPr>
      </w:pPr>
      <w:bookmarkStart w:id="140" w:name="_Toc17788"/>
      <w:bookmarkStart w:id="141" w:name="_Toc26720"/>
      <w:bookmarkStart w:id="142" w:name="_Toc26349"/>
      <w:bookmarkStart w:id="143" w:name="_Toc7699"/>
      <w:r>
        <w:rPr>
          <w:rFonts w:hint="eastAsia" w:ascii="宋体" w:hAnsi="宋体" w:eastAsia="宋体" w:cs="宋体"/>
          <w:b/>
          <w:color w:val="auto"/>
          <w:sz w:val="24"/>
          <w:szCs w:val="18"/>
          <w:highlight w:val="none"/>
        </w:rPr>
        <w:t>一、采购需求前附表</w:t>
      </w:r>
      <w:bookmarkEnd w:id="140"/>
      <w:bookmarkEnd w:id="141"/>
      <w:bookmarkEnd w:id="142"/>
      <w:bookmarkEnd w:id="143"/>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2187"/>
        <w:gridCol w:w="5909"/>
      </w:tblGrid>
      <w:tr w14:paraId="7E66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5" w:type="pct"/>
            <w:vAlign w:val="center"/>
          </w:tcPr>
          <w:p w14:paraId="5DDCA420">
            <w:pPr>
              <w:pStyle w:val="29"/>
              <w:pBdr>
                <w:bottom w:val="none" w:color="auto" w:sz="0" w:space="0"/>
              </w:pBdr>
              <w:tabs>
                <w:tab w:val="clear" w:pos="4153"/>
                <w:tab w:val="clear" w:pos="8306"/>
              </w:tabs>
              <w:adjustRightInd/>
              <w:spacing w:line="360" w:lineRule="auto"/>
              <w:rPr>
                <w:rFonts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192" w:type="pct"/>
            <w:vAlign w:val="center"/>
          </w:tcPr>
          <w:p w14:paraId="4995B0BD">
            <w:pPr>
              <w:pStyle w:val="28"/>
              <w:widowControl w:val="0"/>
              <w:spacing w:before="0" w:beforeAutospacing="0" w:after="0" w:afterAutospacing="0" w:line="360" w:lineRule="auto"/>
              <w:rPr>
                <w:rFonts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221" w:type="pct"/>
            <w:vAlign w:val="center"/>
          </w:tcPr>
          <w:p w14:paraId="5F57AA18">
            <w:pPr>
              <w:pStyle w:val="28"/>
              <w:widowControl w:val="0"/>
              <w:spacing w:before="0" w:beforeAutospacing="0" w:after="0" w:afterAutospacing="0" w:line="360" w:lineRule="auto"/>
              <w:rPr>
                <w:rFonts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5CE7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5" w:type="pct"/>
            <w:vAlign w:val="center"/>
          </w:tcPr>
          <w:p w14:paraId="5B41C228">
            <w:pPr>
              <w:pStyle w:val="29"/>
              <w:pBdr>
                <w:bottom w:val="none" w:color="auto" w:sz="0" w:space="0"/>
              </w:pBdr>
              <w:tabs>
                <w:tab w:val="clear" w:pos="4153"/>
                <w:tab w:val="clear" w:pos="8306"/>
              </w:tabs>
              <w:adjustRightInd/>
              <w:spacing w:line="360" w:lineRule="auto"/>
              <w:rPr>
                <w:rFonts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192" w:type="pct"/>
            <w:vAlign w:val="center"/>
          </w:tcPr>
          <w:p w14:paraId="7A446B34">
            <w:pPr>
              <w:pStyle w:val="28"/>
              <w:widowControl w:val="0"/>
              <w:spacing w:before="0" w:beforeAutospacing="0" w:after="0" w:afterAutospacing="0" w:line="360" w:lineRule="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221" w:type="pct"/>
            <w:vAlign w:val="center"/>
          </w:tcPr>
          <w:p w14:paraId="6B52BA60">
            <w:pPr>
              <w:pStyle w:val="28"/>
              <w:widowControl w:val="0"/>
              <w:spacing w:before="0" w:beforeAutospacing="0" w:after="0" w:afterAutospacing="0" w:line="360" w:lineRule="auto"/>
              <w:jc w:val="left"/>
              <w:rPr>
                <w:rFonts w:hint="eastAsia" w:ascii="宋体" w:hAnsi="宋体" w:eastAsia="宋体" w:cs="宋体"/>
                <w:b w:val="0"/>
                <w:bCs/>
                <w:color w:val="auto"/>
                <w:kern w:val="0"/>
                <w:sz w:val="24"/>
                <w:szCs w:val="28"/>
                <w:highlight w:val="none"/>
                <w:u w:val="none"/>
                <w:lang w:val="en-US" w:eastAsia="zh-CN" w:bidi="ar-SA"/>
              </w:rPr>
            </w:pPr>
            <w:r>
              <w:rPr>
                <w:rFonts w:hint="eastAsia" w:ascii="宋体" w:hAnsi="宋体" w:eastAsia="宋体" w:cs="宋体"/>
                <w:b w:val="0"/>
                <w:bCs/>
                <w:color w:val="auto"/>
                <w:kern w:val="0"/>
                <w:sz w:val="24"/>
                <w:szCs w:val="28"/>
                <w:highlight w:val="none"/>
                <w:u w:val="none"/>
                <w:lang w:val="en-US" w:eastAsia="zh-CN" w:bidi="ar-SA"/>
              </w:rPr>
              <w:t>按月据实支付服务费用。</w:t>
            </w:r>
          </w:p>
        </w:tc>
      </w:tr>
      <w:tr w14:paraId="1ED1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5" w:type="pct"/>
            <w:vAlign w:val="center"/>
          </w:tcPr>
          <w:p w14:paraId="6C245F5A">
            <w:pPr>
              <w:pStyle w:val="29"/>
              <w:pBdr>
                <w:bottom w:val="none" w:color="auto" w:sz="0" w:space="0"/>
              </w:pBdr>
              <w:tabs>
                <w:tab w:val="clear" w:pos="4153"/>
                <w:tab w:val="clear" w:pos="8306"/>
              </w:tabs>
              <w:adjustRightInd/>
              <w:spacing w:line="360" w:lineRule="auto"/>
              <w:rPr>
                <w:rFonts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192" w:type="pct"/>
            <w:vAlign w:val="center"/>
          </w:tcPr>
          <w:p w14:paraId="28633A8F">
            <w:pPr>
              <w:pStyle w:val="28"/>
              <w:widowControl w:val="0"/>
              <w:spacing w:before="0" w:beforeAutospacing="0" w:after="0" w:afterAutospacing="0" w:line="360" w:lineRule="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服务地点</w:t>
            </w:r>
          </w:p>
        </w:tc>
        <w:tc>
          <w:tcPr>
            <w:tcW w:w="3221" w:type="pct"/>
            <w:vAlign w:val="center"/>
          </w:tcPr>
          <w:p w14:paraId="7AEF8E3A">
            <w:pPr>
              <w:pStyle w:val="28"/>
              <w:widowControl w:val="0"/>
              <w:spacing w:before="0" w:beforeAutospacing="0" w:after="0" w:afterAutospacing="0" w:line="360" w:lineRule="auto"/>
              <w:jc w:val="both"/>
              <w:rPr>
                <w:rFonts w:hint="default" w:ascii="宋体" w:hAnsi="宋体" w:eastAsia="宋体" w:cs="宋体"/>
                <w:b w:val="0"/>
                <w:color w:val="auto"/>
                <w:sz w:val="24"/>
                <w:highlight w:val="none"/>
                <w:lang w:val="en-US"/>
              </w:rPr>
            </w:pPr>
            <w:r>
              <w:rPr>
                <w:rFonts w:hint="default" w:ascii="宋体" w:hAnsi="宋体" w:eastAsia="宋体" w:cs="宋体"/>
                <w:b w:val="0"/>
                <w:color w:val="auto"/>
                <w:sz w:val="24"/>
                <w:highlight w:val="none"/>
                <w:lang w:val="en-US"/>
              </w:rPr>
              <w:t>界首市（采购人指定定点）</w:t>
            </w:r>
          </w:p>
        </w:tc>
      </w:tr>
      <w:tr w14:paraId="5471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5" w:type="pct"/>
            <w:vAlign w:val="center"/>
          </w:tcPr>
          <w:p w14:paraId="3A2B41E7">
            <w:pPr>
              <w:pStyle w:val="29"/>
              <w:pBdr>
                <w:bottom w:val="none" w:color="auto" w:sz="0" w:space="0"/>
              </w:pBdr>
              <w:tabs>
                <w:tab w:val="clear" w:pos="4153"/>
                <w:tab w:val="clear" w:pos="8306"/>
              </w:tabs>
              <w:adjustRightInd/>
              <w:spacing w:line="360" w:lineRule="auto"/>
              <w:rPr>
                <w:rFonts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192" w:type="pct"/>
            <w:vAlign w:val="center"/>
          </w:tcPr>
          <w:p w14:paraId="3DF5AB0A">
            <w:pPr>
              <w:pStyle w:val="28"/>
              <w:widowControl w:val="0"/>
              <w:spacing w:before="0" w:beforeAutospacing="0" w:after="0" w:afterAutospacing="0" w:line="360" w:lineRule="auto"/>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服务期限</w:t>
            </w:r>
          </w:p>
        </w:tc>
        <w:tc>
          <w:tcPr>
            <w:tcW w:w="3221" w:type="pct"/>
            <w:vAlign w:val="center"/>
          </w:tcPr>
          <w:p w14:paraId="48911F15">
            <w:pPr>
              <w:pStyle w:val="28"/>
              <w:widowControl w:val="0"/>
              <w:spacing w:before="0" w:beforeAutospacing="0" w:after="0" w:afterAutospacing="0" w:line="360" w:lineRule="auto"/>
              <w:jc w:val="both"/>
              <w:rPr>
                <w:rFonts w:hint="default" w:ascii="宋体" w:hAnsi="宋体" w:eastAsia="宋体" w:cs="宋体"/>
                <w:b w:val="0"/>
                <w:color w:val="auto"/>
                <w:sz w:val="24"/>
                <w:szCs w:val="24"/>
                <w:highlight w:val="none"/>
                <w:lang w:val="en-US" w:eastAsia="zh-CN"/>
              </w:rPr>
            </w:pPr>
            <w:r>
              <w:rPr>
                <w:rFonts w:hint="default" w:ascii="宋体" w:hAnsi="宋体" w:eastAsia="宋体" w:cs="宋体"/>
                <w:b w:val="0"/>
                <w:color w:val="auto"/>
                <w:sz w:val="24"/>
                <w:szCs w:val="24"/>
                <w:highlight w:val="none"/>
                <w:lang w:val="en-US" w:eastAsia="zh-CN"/>
              </w:rPr>
              <w:t>1+1+1年（合同一年一签。成交供应商第一年服务期满后采购人会同有关部门将对履约情况进行考核，如考核合格、履约良好，续签第二年合同</w:t>
            </w:r>
            <w:r>
              <w:rPr>
                <w:rFonts w:hint="eastAsia" w:ascii="宋体" w:hAnsi="宋体" w:eastAsia="宋体" w:cs="宋体"/>
                <w:b w:val="0"/>
                <w:color w:val="auto"/>
                <w:sz w:val="24"/>
                <w:szCs w:val="24"/>
                <w:highlight w:val="none"/>
                <w:lang w:val="en-US" w:eastAsia="zh-CN"/>
              </w:rPr>
              <w:t>，</w:t>
            </w:r>
            <w:r>
              <w:rPr>
                <w:rFonts w:hint="default" w:ascii="宋体" w:hAnsi="宋体" w:eastAsia="宋体" w:cs="宋体"/>
                <w:b w:val="0"/>
                <w:color w:val="auto"/>
                <w:sz w:val="24"/>
                <w:szCs w:val="24"/>
                <w:highlight w:val="none"/>
                <w:lang w:val="en-US" w:eastAsia="zh-CN"/>
              </w:rPr>
              <w:t>成交价不变，以此类推至第三年</w:t>
            </w:r>
            <w:r>
              <w:rPr>
                <w:rFonts w:hint="eastAsia" w:ascii="宋体" w:hAnsi="宋体" w:eastAsia="宋体" w:cs="宋体"/>
                <w:b w:val="0"/>
                <w:color w:val="auto"/>
                <w:sz w:val="24"/>
                <w:szCs w:val="24"/>
                <w:highlight w:val="none"/>
                <w:lang w:val="en-US" w:eastAsia="zh-CN"/>
              </w:rPr>
              <w:t>，</w:t>
            </w:r>
            <w:r>
              <w:rPr>
                <w:rFonts w:hint="default" w:ascii="宋体" w:hAnsi="宋体" w:eastAsia="宋体" w:cs="宋体"/>
                <w:b w:val="0"/>
                <w:color w:val="auto"/>
                <w:sz w:val="24"/>
                <w:szCs w:val="24"/>
                <w:highlight w:val="none"/>
                <w:lang w:val="en-US" w:eastAsia="zh-CN"/>
              </w:rPr>
              <w:t>否则终止合同。）</w:t>
            </w:r>
          </w:p>
        </w:tc>
      </w:tr>
      <w:tr w14:paraId="52A2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5" w:type="pct"/>
            <w:vAlign w:val="center"/>
          </w:tcPr>
          <w:p w14:paraId="422CA75A">
            <w:pPr>
              <w:pStyle w:val="29"/>
              <w:pBdr>
                <w:bottom w:val="none" w:color="auto" w:sz="0" w:space="0"/>
              </w:pBdr>
              <w:tabs>
                <w:tab w:val="clear" w:pos="4153"/>
                <w:tab w:val="clear" w:pos="8306"/>
              </w:tabs>
              <w:adjustRightInd/>
              <w:spacing w:line="360" w:lineRule="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4</w:t>
            </w:r>
          </w:p>
        </w:tc>
        <w:tc>
          <w:tcPr>
            <w:tcW w:w="1192" w:type="pct"/>
            <w:shd w:val="clear" w:color="auto" w:fill="auto"/>
            <w:vAlign w:val="center"/>
          </w:tcPr>
          <w:p w14:paraId="7F021BD1">
            <w:pPr>
              <w:pStyle w:val="28"/>
              <w:widowControl w:val="0"/>
              <w:spacing w:before="0" w:beforeAutospacing="0" w:after="0" w:afterAutospacing="0" w:line="360" w:lineRule="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服务质量</w:t>
            </w:r>
          </w:p>
        </w:tc>
        <w:tc>
          <w:tcPr>
            <w:tcW w:w="3221" w:type="pct"/>
            <w:shd w:val="clear" w:color="auto" w:fill="auto"/>
            <w:vAlign w:val="center"/>
          </w:tcPr>
          <w:p w14:paraId="33227F7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满足采购人需求。</w:t>
            </w:r>
          </w:p>
        </w:tc>
      </w:tr>
    </w:tbl>
    <w:p w14:paraId="58D1AE34">
      <w:pPr>
        <w:spacing w:line="360" w:lineRule="auto"/>
        <w:ind w:firstLine="437"/>
        <w:rPr>
          <w:rFonts w:ascii="宋体" w:hAnsi="宋体" w:eastAsia="宋体" w:cs="宋体"/>
          <w:b/>
          <w:color w:val="auto"/>
          <w:sz w:val="24"/>
          <w:szCs w:val="18"/>
          <w:highlight w:val="none"/>
        </w:rPr>
      </w:pPr>
    </w:p>
    <w:p w14:paraId="1DD53D95">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37"/>
        <w:textAlignment w:val="auto"/>
        <w:rPr>
          <w:rFonts w:ascii="宋体" w:hAnsi="宋体" w:eastAsia="宋体" w:cs="宋体"/>
          <w:b/>
          <w:color w:val="auto"/>
          <w:sz w:val="24"/>
          <w:szCs w:val="18"/>
          <w:highlight w:val="none"/>
        </w:rPr>
      </w:pPr>
      <w:bookmarkStart w:id="144" w:name="_Toc5538"/>
      <w:bookmarkStart w:id="145" w:name="_Toc23116"/>
      <w:bookmarkStart w:id="146" w:name="_Toc25144"/>
      <w:bookmarkStart w:id="147" w:name="_Toc7064"/>
      <w:r>
        <w:rPr>
          <w:rFonts w:hint="eastAsia" w:ascii="宋体" w:hAnsi="宋体" w:eastAsia="宋体" w:cs="宋体"/>
          <w:b/>
          <w:color w:val="auto"/>
          <w:sz w:val="24"/>
          <w:szCs w:val="18"/>
          <w:highlight w:val="none"/>
        </w:rPr>
        <w:t>二、项目概况</w:t>
      </w:r>
      <w:bookmarkEnd w:id="144"/>
      <w:bookmarkEnd w:id="145"/>
      <w:bookmarkEnd w:id="146"/>
      <w:bookmarkEnd w:id="147"/>
    </w:p>
    <w:p w14:paraId="0DC5BCAD">
      <w:pPr>
        <w:spacing w:line="360" w:lineRule="auto"/>
        <w:ind w:firstLine="437"/>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界首市2026年-2028年度12345政务服务便民热线外包服务项目，主要内容为提供 6 名坐席人员，对政务服务热线工单进行转办、催办、回访等，能够完成热线平台日常工作及单位交办的其它工作。</w:t>
      </w:r>
    </w:p>
    <w:p w14:paraId="77C18725">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37"/>
        <w:textAlignment w:val="auto"/>
        <w:rPr>
          <w:rFonts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三、服务需求</w:t>
      </w:r>
    </w:p>
    <w:p w14:paraId="680EB761">
      <w:pPr>
        <w:spacing w:line="360" w:lineRule="auto"/>
        <w:ind w:firstLine="437"/>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1.成交供应商需要提供 6名热线服务人员。</w:t>
      </w:r>
    </w:p>
    <w:p w14:paraId="06EC2261">
      <w:pPr>
        <w:spacing w:line="360" w:lineRule="auto"/>
        <w:ind w:firstLine="437"/>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 xml:space="preserve">2.人员基本要求： </w:t>
      </w:r>
    </w:p>
    <w:p w14:paraId="11013B98">
      <w:pPr>
        <w:spacing w:line="360" w:lineRule="auto"/>
        <w:ind w:firstLine="437"/>
        <w:rPr>
          <w:rFonts w:hint="eastAsia" w:ascii="宋体" w:hAnsi="宋体" w:eastAsia="宋体" w:cs="宋体"/>
          <w:b w:val="0"/>
          <w:bCs/>
          <w:color w:val="auto"/>
          <w:kern w:val="0"/>
          <w:sz w:val="24"/>
          <w:szCs w:val="24"/>
          <w:highlight w:val="none"/>
          <w:lang w:val="en-US" w:eastAsia="zh-CN" w:bidi="ar-SA"/>
        </w:rPr>
      </w:pPr>
      <w:bookmarkStart w:id="148" w:name="OLE_LINK1"/>
      <w:r>
        <w:rPr>
          <w:rFonts w:hint="eastAsia" w:ascii="宋体" w:hAnsi="宋体" w:eastAsia="宋体" w:cs="宋体"/>
          <w:b w:val="0"/>
          <w:bCs/>
          <w:color w:val="auto"/>
          <w:kern w:val="0"/>
          <w:sz w:val="24"/>
          <w:szCs w:val="24"/>
          <w:highlight w:val="none"/>
          <w:lang w:val="en-US" w:eastAsia="zh-CN" w:bidi="ar-SA"/>
        </w:rPr>
        <w:t>（1）</w:t>
      </w:r>
      <w:bookmarkEnd w:id="148"/>
      <w:r>
        <w:rPr>
          <w:rFonts w:hint="eastAsia" w:ascii="宋体" w:hAnsi="宋体" w:eastAsia="宋体" w:cs="宋体"/>
          <w:b w:val="0"/>
          <w:bCs/>
          <w:color w:val="auto"/>
          <w:kern w:val="0"/>
          <w:sz w:val="24"/>
          <w:szCs w:val="24"/>
          <w:highlight w:val="none"/>
          <w:lang w:val="en-US" w:eastAsia="zh-CN" w:bidi="ar-SA"/>
        </w:rPr>
        <w:t>政治素质好，组织纪律性强，爱岗敬业，乐于奉献，具有较强的事业心和责任感；</w:t>
      </w:r>
    </w:p>
    <w:p w14:paraId="2F36E707">
      <w:pPr>
        <w:spacing w:line="360" w:lineRule="auto"/>
        <w:ind w:firstLine="437"/>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（2）性别不限、专业不限、大专及以上学历、年龄20-40周岁，身体健康、有较强的服务意识、有较好的情绪控制能力、态度友善、沟通能力和应变能力较强、积极进取；</w:t>
      </w:r>
    </w:p>
    <w:p w14:paraId="63C08578">
      <w:pPr>
        <w:spacing w:line="360" w:lineRule="auto"/>
        <w:ind w:firstLine="437"/>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（3）有较强的文字组织和语言表达能力，普通话标准，口齿伶俐，打字速度每分钟 60 字及以上，熟练运用办公操作软件；</w:t>
      </w:r>
    </w:p>
    <w:p w14:paraId="3AFCBEBE">
      <w:pPr>
        <w:spacing w:line="360" w:lineRule="auto"/>
        <w:ind w:firstLine="437"/>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（4）熟悉热线电话及网络受理范围内的相关政策和业务知识；</w:t>
      </w:r>
    </w:p>
    <w:p w14:paraId="0616B8D9">
      <w:pPr>
        <w:spacing w:line="360" w:lineRule="auto"/>
        <w:ind w:firstLine="437"/>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（5）有志于投身热线服务事业，拥有为企业群众的情怀，能长期胜任接线工作，热心倾听，热情解答。</w:t>
      </w:r>
    </w:p>
    <w:p w14:paraId="41FADAEE">
      <w:pPr>
        <w:spacing w:line="360" w:lineRule="auto"/>
        <w:ind w:firstLine="437"/>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3.工作要求</w:t>
      </w:r>
    </w:p>
    <w:p w14:paraId="140F4715">
      <w:pPr>
        <w:spacing w:line="360" w:lineRule="auto"/>
        <w:ind w:firstLine="437"/>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成交供应商必须构建科学的岗位管理体系，定岗定责、合理配置人力资源。建立健全12345热线工作管理、值班、保密制度，严格落实省、市关于12345热线工单分类办理标准，精准派单，高质量完成各级各类热线及留言办理工单。</w:t>
      </w:r>
    </w:p>
    <w:p w14:paraId="0033AFB1">
      <w:pPr>
        <w:spacing w:line="360" w:lineRule="auto"/>
        <w:ind w:firstLine="437"/>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（2）成交供应商依法与劳务人员订立劳动合同，须按政策规定为劳务人员参加社会保险、提供年休假。劳务人员的薪酬管理、待遇发放结构和标准，需与采购人充分协商并同意后发放。</w:t>
      </w:r>
    </w:p>
    <w:p w14:paraId="5AC3E9C1">
      <w:pPr>
        <w:spacing w:line="360" w:lineRule="auto"/>
        <w:ind w:firstLine="437"/>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成交供应商应保证劳务人员在合同签订后3个工作日内按时到达采购人指定的工作地点，保证采购人的相关工作如期开展，并严格遵守采购人的信息保密等制度及其他内部管理方面的规章制度。对不符合采购人要求的劳务人员，成交供应商须根据采购人要求应及时予以更换。成交供应商更换人员或与劳务人员解除合同，需提前30天书面通知采购人，如有人员确定离职、辞职等，接替人员应提前15个工作日到岗，并开展人员上岗培训。未经采购方同意，成交供应商不得擅自将外包工作人员调离他用。未经采购人同意，成交供应商不得擅自变更劳务人员。任何人员变动均以双方协商而定。</w:t>
      </w:r>
    </w:p>
    <w:p w14:paraId="602433EA">
      <w:pPr>
        <w:spacing w:line="360" w:lineRule="auto"/>
        <w:ind w:firstLine="437"/>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（4）成交供应商须遵守采购方规定的考核制度，积极进行自查工作，采购方每月出具考核报表，作为对成交供应商考核以及资金支付依据。</w:t>
      </w:r>
    </w:p>
    <w:p w14:paraId="4C15514E">
      <w:pPr>
        <w:spacing w:line="360" w:lineRule="auto"/>
        <w:ind w:firstLine="437"/>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 xml:space="preserve">（5）如果出现泄密事件，成交供应商必须协助采购人调查，造成损失均由成交供应商承担，同时采购人有权解除合同。 </w:t>
      </w:r>
    </w:p>
    <w:p w14:paraId="1822B0F7">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37"/>
        <w:textAlignment w:val="auto"/>
        <w:rPr>
          <w:rFonts w:ascii="宋体" w:hAnsi="宋体" w:eastAsia="宋体" w:cs="宋体"/>
          <w:b/>
          <w:color w:val="auto"/>
          <w:sz w:val="24"/>
          <w:szCs w:val="18"/>
          <w:highlight w:val="none"/>
        </w:rPr>
      </w:pPr>
      <w:r>
        <w:rPr>
          <w:rFonts w:hint="eastAsia" w:ascii="宋体" w:hAnsi="宋体" w:eastAsia="宋体" w:cs="宋体"/>
          <w:b/>
          <w:color w:val="auto"/>
          <w:sz w:val="24"/>
          <w:szCs w:val="18"/>
          <w:highlight w:val="none"/>
        </w:rPr>
        <w:t>四、报价要求</w:t>
      </w:r>
    </w:p>
    <w:p w14:paraId="11EA2D9E">
      <w:pPr>
        <w:spacing w:line="360" w:lineRule="auto"/>
        <w:ind w:firstLine="437"/>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报价方式：总价报价，报价包括为完成本项目所产生的全部费用，包括但不限于人员工资（不得兼职）、管理费、税金、利润、劳动保险费、合同服务内的风险费用等为完成本项目所发生的费用。成交供应商自行解决员工养老、失业、医疗（含生育）、工伤、工资及供应商为完成服务所发生的一切费用等有关问题。</w:t>
      </w:r>
    </w:p>
    <w:p w14:paraId="1A0D524E">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37"/>
        <w:textAlignment w:val="auto"/>
        <w:rPr>
          <w:rFonts w:ascii="宋体" w:hAnsi="宋体" w:eastAsia="宋体" w:cs="宋体"/>
          <w:b/>
          <w:color w:val="auto"/>
          <w:sz w:val="24"/>
          <w:szCs w:val="18"/>
          <w:highlight w:val="none"/>
        </w:rPr>
      </w:pPr>
      <w:r>
        <w:rPr>
          <w:rFonts w:hint="eastAsia" w:ascii="宋体" w:hAnsi="宋体" w:eastAsia="宋体" w:cs="宋体"/>
          <w:b/>
          <w:color w:val="auto"/>
          <w:sz w:val="24"/>
          <w:szCs w:val="18"/>
          <w:highlight w:val="none"/>
        </w:rPr>
        <w:t>五、其他要求</w:t>
      </w:r>
    </w:p>
    <w:p w14:paraId="655DAE14">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37"/>
        <w:textAlignment w:val="auto"/>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 xml:space="preserve">（一）考核要求： </w:t>
      </w:r>
    </w:p>
    <w:p w14:paraId="3941B0CA">
      <w:pPr>
        <w:spacing w:line="360" w:lineRule="auto"/>
        <w:ind w:firstLine="437"/>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1.考核分值总分为 100分，</w:t>
      </w:r>
      <w:r>
        <w:rPr>
          <w:rFonts w:hint="eastAsia" w:ascii="宋体" w:hAnsi="宋体" w:eastAsia="宋体" w:cs="宋体"/>
          <w:b w:val="0"/>
          <w:bCs/>
          <w:color w:val="auto"/>
          <w:kern w:val="0"/>
          <w:sz w:val="24"/>
          <w:szCs w:val="24"/>
          <w:highlight w:val="none"/>
          <w:lang w:val="en-US" w:eastAsia="zh-CN" w:bidi="ar-SA"/>
        </w:rPr>
        <w:t>考核指标及评分标准如下：</w:t>
      </w:r>
    </w:p>
    <w:p w14:paraId="26583B77">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37"/>
        <w:textAlignment w:val="auto"/>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（1）人员（40分）：</w:t>
      </w:r>
    </w:p>
    <w:p w14:paraId="20B9ABA6">
      <w:pPr>
        <w:spacing w:line="360" w:lineRule="auto"/>
        <w:ind w:firstLine="437"/>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成交供应商提供采购人未考核合格的工作人员，每出现1名扣10分。每缺岗3天/人，扣3分。空缺岗位，5天内未补充到位的，扣 5分/位。未按时发放人员工资的，每次扣10分，不足额发放发现一次扣5分。当月离职员工2人以上扣3分。</w:t>
      </w:r>
    </w:p>
    <w:p w14:paraId="5C217D70">
      <w:pPr>
        <w:spacing w:line="360" w:lineRule="auto"/>
        <w:ind w:firstLine="437"/>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（2）服务配合度（30分）：</w:t>
      </w:r>
    </w:p>
    <w:p w14:paraId="2A1C95D1">
      <w:pPr>
        <w:spacing w:line="360" w:lineRule="auto"/>
        <w:ind w:firstLine="437"/>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未按采购人要求，造成工作延误的，扣2分/次。出现失误，造成不良影响的，发现一次扣3分。每年为每名工作人员提供不少于1次的健康体检，每缺少1人次扣10分。确保工作人员各项基础福利（法定社会保险，其余福利待遇可依据实际运营情况），每缺少1人次扣10分。更换工作人员与工作人员解除合同，未提前书面通知采购人的，若未通知造成不良影响的，发现一次扣3分。</w:t>
      </w:r>
    </w:p>
    <w:p w14:paraId="1D23CE7A">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37"/>
        <w:textAlignment w:val="auto"/>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（3）服务质量（30分）：</w:t>
      </w:r>
    </w:p>
    <w:p w14:paraId="1BA48016">
      <w:pPr>
        <w:spacing w:line="360" w:lineRule="auto"/>
        <w:ind w:firstLine="437"/>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成交供应商保障综合服务质量，确保岗位各项考核指标不低于采购人要求，每发现一次扣5分。对来电人信息的保密工作，若发生泄密事件，一经查实，每发生一起扣 5分，并由成交人负相应责任及后果。如有在上级有关部门督导抽查和明察暗访中被通报批评或群众大量投诉每次扣5分。</w:t>
      </w:r>
    </w:p>
    <w:p w14:paraId="3FFBA950">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37"/>
        <w:textAlignment w:val="auto"/>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2.考核措施与对应处罚：</w:t>
      </w:r>
    </w:p>
    <w:p w14:paraId="49CD192D">
      <w:pPr>
        <w:spacing w:line="360" w:lineRule="auto"/>
        <w:ind w:firstLine="437"/>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考核依据年度内每月服务考核加权得出年度考核得分，得分在90分（含90分）及以上为合格。</w:t>
      </w:r>
    </w:p>
    <w:p w14:paraId="135DC93C">
      <w:pPr>
        <w:spacing w:line="360" w:lineRule="auto"/>
        <w:ind w:firstLine="437"/>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每年度内考核得分在80分（含80分）至90分（不含90分）的扣除成交供应商合同总金额的5%。</w:t>
      </w:r>
    </w:p>
    <w:p w14:paraId="5053D9BE">
      <w:pPr>
        <w:spacing w:line="360" w:lineRule="auto"/>
        <w:ind w:firstLine="437"/>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每年度内考核得分在70分（含70分）至80分（不含80分）的扣除成交供应商合同总金额的7.5%。</w:t>
      </w:r>
    </w:p>
    <w:p w14:paraId="3EBDFBED">
      <w:pPr>
        <w:spacing w:line="360" w:lineRule="auto"/>
        <w:ind w:firstLine="437"/>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每年度内考核得分在60分（含60分）至70分（不含70分）的扣除成交供应商合同总金额的10%。</w:t>
      </w:r>
    </w:p>
    <w:p w14:paraId="13A40C1F">
      <w:pPr>
        <w:spacing w:line="360" w:lineRule="auto"/>
        <w:ind w:firstLine="437"/>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全年平均考核加权得分在60分以下的，采购人有权视情况终止合同，造成的损失和影响由成交单位承担。</w:t>
      </w:r>
    </w:p>
    <w:p w14:paraId="454C95C8">
      <w:pPr>
        <w:spacing w:line="360" w:lineRule="auto"/>
        <w:ind w:firstLine="437"/>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14:paraId="05995011">
      <w:pPr>
        <w:widowControl/>
        <w:spacing w:line="360" w:lineRule="auto"/>
        <w:jc w:val="center"/>
        <w:outlineLvl w:val="0"/>
        <w:rPr>
          <w:rStyle w:val="27"/>
          <w:rFonts w:ascii="宋体" w:hAnsi="宋体" w:eastAsia="宋体" w:cs="宋体"/>
          <w:color w:val="auto"/>
          <w:highlight w:val="none"/>
        </w:rPr>
      </w:pPr>
      <w:bookmarkStart w:id="149" w:name="_Toc12018"/>
      <w:bookmarkStart w:id="150" w:name="_Toc15683"/>
      <w:bookmarkStart w:id="151" w:name="_Toc30416"/>
      <w:bookmarkStart w:id="152" w:name="_Toc24252"/>
      <w:bookmarkStart w:id="153" w:name="_Toc11558"/>
      <w:bookmarkStart w:id="154" w:name="_Toc25382"/>
      <w:bookmarkStart w:id="155" w:name="_Toc4446"/>
      <w:bookmarkStart w:id="156" w:name="_Toc4716"/>
      <w:bookmarkStart w:id="157" w:name="_Toc8668"/>
      <w:bookmarkStart w:id="158" w:name="_Toc12271"/>
      <w:bookmarkStart w:id="159" w:name="_Toc13779"/>
      <w:r>
        <w:rPr>
          <w:rStyle w:val="27"/>
          <w:rFonts w:hint="eastAsia" w:ascii="宋体" w:hAnsi="宋体" w:eastAsia="宋体" w:cs="宋体"/>
          <w:color w:val="auto"/>
          <w:highlight w:val="none"/>
        </w:rPr>
        <w:t>第四章  评审方法和标准</w:t>
      </w:r>
      <w:bookmarkEnd w:id="149"/>
      <w:bookmarkEnd w:id="150"/>
      <w:bookmarkEnd w:id="151"/>
      <w:bookmarkEnd w:id="152"/>
      <w:bookmarkEnd w:id="153"/>
      <w:bookmarkEnd w:id="154"/>
      <w:bookmarkEnd w:id="155"/>
      <w:bookmarkEnd w:id="156"/>
      <w:bookmarkEnd w:id="157"/>
      <w:bookmarkEnd w:id="158"/>
      <w:bookmarkEnd w:id="159"/>
    </w:p>
    <w:p w14:paraId="4ED1E4B1">
      <w:pPr>
        <w:spacing w:line="360" w:lineRule="auto"/>
        <w:ind w:firstLine="437"/>
        <w:outlineLvl w:val="1"/>
        <w:rPr>
          <w:rFonts w:ascii="宋体" w:hAnsi="宋体" w:eastAsia="宋体" w:cs="宋体"/>
          <w:b/>
          <w:color w:val="auto"/>
          <w:sz w:val="24"/>
          <w:highlight w:val="none"/>
        </w:rPr>
      </w:pPr>
      <w:bookmarkStart w:id="160" w:name="_Toc23360"/>
      <w:bookmarkStart w:id="161" w:name="_Toc12199"/>
      <w:bookmarkStart w:id="162" w:name="_Toc22655"/>
      <w:bookmarkStart w:id="163" w:name="_Toc21211"/>
      <w:r>
        <w:rPr>
          <w:rFonts w:hint="eastAsia" w:ascii="宋体" w:hAnsi="宋体" w:eastAsia="宋体" w:cs="宋体"/>
          <w:b/>
          <w:color w:val="auto"/>
          <w:sz w:val="24"/>
          <w:highlight w:val="none"/>
        </w:rPr>
        <w:t>一、总则</w:t>
      </w:r>
      <w:bookmarkEnd w:id="160"/>
      <w:bookmarkEnd w:id="161"/>
      <w:bookmarkEnd w:id="162"/>
      <w:bookmarkEnd w:id="163"/>
    </w:p>
    <w:p w14:paraId="33BA9DB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本项目将按照磋商文件第二章 供应商须知的相关要求及本章的规定评审。</w:t>
      </w:r>
    </w:p>
    <w:p w14:paraId="59975012">
      <w:pPr>
        <w:spacing w:line="360" w:lineRule="auto"/>
        <w:ind w:firstLine="437"/>
        <w:outlineLvl w:val="1"/>
        <w:rPr>
          <w:rFonts w:ascii="宋体" w:hAnsi="宋体" w:eastAsia="宋体" w:cs="宋体"/>
          <w:b/>
          <w:color w:val="auto"/>
          <w:sz w:val="24"/>
          <w:highlight w:val="none"/>
        </w:rPr>
      </w:pPr>
      <w:bookmarkStart w:id="164" w:name="_Toc29026"/>
      <w:bookmarkStart w:id="165" w:name="_Toc27291"/>
      <w:bookmarkStart w:id="166" w:name="_Toc13039"/>
      <w:bookmarkStart w:id="167" w:name="_Toc16885"/>
      <w:r>
        <w:rPr>
          <w:rFonts w:hint="eastAsia" w:ascii="宋体" w:hAnsi="宋体" w:eastAsia="宋体" w:cs="宋体"/>
          <w:b/>
          <w:color w:val="auto"/>
          <w:sz w:val="24"/>
          <w:highlight w:val="none"/>
        </w:rPr>
        <w:t>二、评审方法</w:t>
      </w:r>
      <w:bookmarkEnd w:id="164"/>
      <w:bookmarkEnd w:id="165"/>
      <w:bookmarkEnd w:id="166"/>
      <w:bookmarkEnd w:id="167"/>
    </w:p>
    <w:p w14:paraId="6E19BDFC">
      <w:pPr>
        <w:spacing w:line="360" w:lineRule="auto"/>
        <w:ind w:firstLine="435"/>
        <w:outlineLvl w:val="2"/>
        <w:rPr>
          <w:rFonts w:ascii="宋体" w:hAnsi="宋体" w:eastAsia="宋体" w:cs="宋体"/>
          <w:color w:val="auto"/>
          <w:sz w:val="24"/>
          <w:highlight w:val="none"/>
        </w:rPr>
      </w:pPr>
      <w:bookmarkStart w:id="168" w:name="_Toc17592"/>
      <w:r>
        <w:rPr>
          <w:rFonts w:hint="eastAsia" w:ascii="宋体" w:hAnsi="宋体" w:eastAsia="宋体" w:cs="宋体"/>
          <w:color w:val="auto"/>
          <w:sz w:val="24"/>
          <w:highlight w:val="none"/>
        </w:rPr>
        <w:t>2.1初审</w:t>
      </w:r>
      <w:bookmarkEnd w:id="168"/>
    </w:p>
    <w:p w14:paraId="1AB28D8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磋商小组对供应商的响应文件进行初审，以确定其是否满足磋商文件的实质性要求。初审表如下：</w:t>
      </w:r>
    </w:p>
    <w:tbl>
      <w:tblPr>
        <w:tblStyle w:val="23"/>
        <w:tblW w:w="51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651"/>
        <w:gridCol w:w="4703"/>
        <w:gridCol w:w="2391"/>
      </w:tblGrid>
      <w:tr w14:paraId="5A82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5FCD576F">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初审表</w:t>
            </w:r>
          </w:p>
        </w:tc>
      </w:tr>
      <w:tr w14:paraId="40D9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bottom w:val="single" w:color="auto" w:sz="4" w:space="0"/>
            </w:tcBorders>
            <w:vAlign w:val="center"/>
          </w:tcPr>
          <w:p w14:paraId="4EE0D0A3">
            <w:pPr>
              <w:adjustRightInd w:val="0"/>
              <w:snapToGrid w:val="0"/>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67" w:type="pct"/>
            <w:tcBorders>
              <w:bottom w:val="single" w:color="auto" w:sz="4" w:space="0"/>
            </w:tcBorders>
            <w:vAlign w:val="center"/>
          </w:tcPr>
          <w:p w14:paraId="022E590B">
            <w:pPr>
              <w:pStyle w:val="29"/>
              <w:pBdr>
                <w:bottom w:val="none" w:color="auto" w:sz="0" w:space="0"/>
              </w:pBdr>
              <w:tabs>
                <w:tab w:val="clear" w:pos="4153"/>
                <w:tab w:val="clear" w:pos="8306"/>
              </w:tabs>
              <w:snapToGrid w:val="0"/>
              <w:spacing w:line="360" w:lineRule="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审查指标</w:t>
            </w:r>
          </w:p>
        </w:tc>
        <w:tc>
          <w:tcPr>
            <w:tcW w:w="2470" w:type="pct"/>
            <w:tcBorders>
              <w:bottom w:val="single" w:color="auto" w:sz="4" w:space="0"/>
            </w:tcBorders>
            <w:vAlign w:val="center"/>
          </w:tcPr>
          <w:p w14:paraId="10C10DD1">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审查标准</w:t>
            </w:r>
          </w:p>
        </w:tc>
        <w:tc>
          <w:tcPr>
            <w:tcW w:w="1255" w:type="pct"/>
            <w:tcBorders>
              <w:bottom w:val="single" w:color="auto" w:sz="4" w:space="0"/>
            </w:tcBorders>
            <w:vAlign w:val="center"/>
          </w:tcPr>
          <w:p w14:paraId="6C92B9CC">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格式要求</w:t>
            </w:r>
          </w:p>
        </w:tc>
      </w:tr>
      <w:tr w14:paraId="681F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07" w:type="pct"/>
            <w:tcBorders>
              <w:bottom w:val="single" w:color="auto" w:sz="4" w:space="0"/>
            </w:tcBorders>
            <w:vAlign w:val="center"/>
          </w:tcPr>
          <w:p w14:paraId="48F53DFA">
            <w:pPr>
              <w:numPr>
                <w:ilvl w:val="0"/>
                <w:numId w:val="2"/>
              </w:numPr>
              <w:adjustRightInd w:val="0"/>
              <w:snapToGrid w:val="0"/>
              <w:spacing w:line="360" w:lineRule="auto"/>
              <w:ind w:left="425" w:leftChars="0" w:hanging="425" w:firstLineChars="0"/>
              <w:jc w:val="center"/>
              <w:rPr>
                <w:rFonts w:ascii="宋体" w:hAnsi="宋体" w:eastAsia="宋体" w:cs="宋体"/>
                <w:color w:val="auto"/>
                <w:sz w:val="24"/>
                <w:szCs w:val="24"/>
                <w:highlight w:val="none"/>
              </w:rPr>
            </w:pPr>
          </w:p>
        </w:tc>
        <w:tc>
          <w:tcPr>
            <w:tcW w:w="867" w:type="pct"/>
            <w:tcBorders>
              <w:bottom w:val="single" w:color="auto" w:sz="4" w:space="0"/>
            </w:tcBorders>
            <w:vAlign w:val="center"/>
          </w:tcPr>
          <w:p w14:paraId="13980B49">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营业执照等证明</w:t>
            </w:r>
            <w:r>
              <w:rPr>
                <w:rFonts w:hint="eastAsia" w:ascii="宋体" w:hAnsi="宋体" w:eastAsia="宋体" w:cs="宋体"/>
                <w:color w:val="auto"/>
                <w:spacing w:val="-3"/>
                <w:sz w:val="24"/>
                <w:szCs w:val="24"/>
                <w:highlight w:val="none"/>
              </w:rPr>
              <w:t>文件</w:t>
            </w:r>
          </w:p>
        </w:tc>
        <w:tc>
          <w:tcPr>
            <w:tcW w:w="2470" w:type="pct"/>
            <w:tcBorders>
              <w:bottom w:val="single" w:color="auto" w:sz="4" w:space="0"/>
            </w:tcBorders>
            <w:vAlign w:val="center"/>
          </w:tcPr>
          <w:p w14:paraId="7747A6B0">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（1）供应商为企业（包括合伙企业）的，应提供有效的营业执照；</w:t>
            </w:r>
          </w:p>
          <w:p w14:paraId="103A7F17">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（2）供应商为事业单位的，应提供有效的事业单位法人证书；</w:t>
            </w:r>
          </w:p>
          <w:p w14:paraId="7E784AFF">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（3）供应商是非企业机构的，应提供有效的执业许可证或登记证书等证明文件；</w:t>
            </w:r>
          </w:p>
          <w:p w14:paraId="73927DE4">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（4）供应商是个体工商户的，应提供有效的个体工商户营业执照；</w:t>
            </w:r>
          </w:p>
          <w:p w14:paraId="712C47C0">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（5）供应商是自然人的，应提供有效的自然人身份证明。</w:t>
            </w:r>
          </w:p>
          <w:p w14:paraId="0C9B9FFC">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对于银行、保险、石油石化、电力、电信等行业的分公司参加磋商的，应提供该分公司的相应证明文件（如营业执照）；同时还应提供其总公司或上级主管部门出具的授权其参与本项目的书面唯一授权书（格式自拟，须加盖其总公司或上级主管部门的公章），也可以提供其总公司或上级主管部门的有关文件或制度等能够证明授权其独立开展业务的证明材料。</w:t>
            </w:r>
          </w:p>
        </w:tc>
        <w:tc>
          <w:tcPr>
            <w:tcW w:w="1255" w:type="pct"/>
            <w:vAlign w:val="center"/>
          </w:tcPr>
          <w:p w14:paraId="3E98E431">
            <w:pPr>
              <w:spacing w:line="360" w:lineRule="auto"/>
              <w:jc w:val="left"/>
              <w:rPr>
                <w:rFonts w:ascii="宋体" w:hAnsi="宋体" w:eastAsia="宋体" w:cs="宋体"/>
                <w:color w:val="auto"/>
                <w:sz w:val="24"/>
                <w:szCs w:val="24"/>
                <w:highlight w:val="none"/>
              </w:rPr>
            </w:pPr>
            <w:r>
              <w:rPr>
                <w:rFonts w:hint="default" w:ascii="Times New Roman" w:hAnsi="Times New Roman" w:eastAsia="宋体" w:cs="Times New Roman"/>
                <w:color w:val="auto"/>
                <w:sz w:val="24"/>
                <w:szCs w:val="24"/>
                <w:highlight w:val="none"/>
              </w:rPr>
              <w:t>提供</w:t>
            </w:r>
            <w:r>
              <w:rPr>
                <w:rFonts w:hint="default" w:ascii="Times New Roman" w:hAnsi="Times New Roman" w:eastAsia="宋体" w:cs="Times New Roman"/>
                <w:color w:val="auto"/>
                <w:sz w:val="24"/>
                <w:szCs w:val="24"/>
                <w:highlight w:val="none"/>
                <w:lang w:val="en-US"/>
              </w:rPr>
              <w:t>材料</w:t>
            </w:r>
            <w:r>
              <w:rPr>
                <w:rFonts w:hint="eastAsia" w:ascii="Times New Roman" w:hAnsi="Times New Roman" w:eastAsia="宋体" w:cs="Times New Roman"/>
                <w:color w:val="auto"/>
                <w:sz w:val="24"/>
                <w:szCs w:val="24"/>
                <w:highlight w:val="none"/>
                <w:lang w:val="en-US" w:eastAsia="zh-CN"/>
              </w:rPr>
              <w:t>复制</w:t>
            </w:r>
            <w:r>
              <w:rPr>
                <w:rFonts w:hint="default" w:ascii="Times New Roman" w:hAnsi="Times New Roman" w:eastAsia="宋体" w:cs="Times New Roman"/>
                <w:color w:val="auto"/>
                <w:sz w:val="24"/>
                <w:szCs w:val="24"/>
                <w:highlight w:val="none"/>
              </w:rPr>
              <w:t>件，应完整</w:t>
            </w:r>
            <w:r>
              <w:rPr>
                <w:rFonts w:hint="eastAsia" w:ascii="Times New Roman" w:hAnsi="Times New Roman" w:eastAsia="宋体" w:cs="Times New Roman"/>
                <w:color w:val="auto"/>
                <w:sz w:val="24"/>
                <w:szCs w:val="24"/>
                <w:highlight w:val="none"/>
                <w:lang w:eastAsia="zh-CN"/>
              </w:rPr>
              <w:t>地</w:t>
            </w:r>
            <w:r>
              <w:rPr>
                <w:rFonts w:hint="default" w:ascii="Times New Roman" w:hAnsi="Times New Roman" w:eastAsia="宋体" w:cs="Times New Roman"/>
                <w:color w:val="auto"/>
                <w:sz w:val="24"/>
                <w:szCs w:val="24"/>
                <w:highlight w:val="none"/>
              </w:rPr>
              <w:t>体现出</w:t>
            </w:r>
            <w:r>
              <w:rPr>
                <w:rFonts w:hint="default" w:ascii="Times New Roman" w:hAnsi="Times New Roman" w:eastAsia="宋体" w:cs="Times New Roman"/>
                <w:color w:val="auto"/>
                <w:sz w:val="24"/>
                <w:szCs w:val="24"/>
                <w:highlight w:val="none"/>
                <w:lang w:val="en-US"/>
              </w:rPr>
              <w:t>材料</w:t>
            </w:r>
            <w:r>
              <w:rPr>
                <w:rFonts w:hint="default" w:ascii="Times New Roman" w:hAnsi="Times New Roman" w:eastAsia="宋体" w:cs="Times New Roman"/>
                <w:color w:val="auto"/>
                <w:sz w:val="24"/>
                <w:szCs w:val="24"/>
                <w:highlight w:val="none"/>
              </w:rPr>
              <w:t>全部内容</w:t>
            </w:r>
            <w:r>
              <w:rPr>
                <w:rFonts w:hint="eastAsia" w:ascii="Times New Roman" w:hAnsi="Times New Roman" w:eastAsia="宋体" w:cs="Times New Roman"/>
                <w:color w:val="auto"/>
                <w:sz w:val="24"/>
                <w:szCs w:val="24"/>
                <w:highlight w:val="none"/>
                <w:lang w:eastAsia="zh-CN"/>
              </w:rPr>
              <w:t>。</w:t>
            </w:r>
          </w:p>
        </w:tc>
      </w:tr>
      <w:tr w14:paraId="0A7E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07" w:type="pct"/>
            <w:tcBorders>
              <w:bottom w:val="single" w:color="auto" w:sz="4" w:space="0"/>
            </w:tcBorders>
            <w:vAlign w:val="center"/>
          </w:tcPr>
          <w:p w14:paraId="0AF3B2DB">
            <w:pPr>
              <w:numPr>
                <w:ilvl w:val="0"/>
                <w:numId w:val="2"/>
              </w:numPr>
              <w:adjustRightInd w:val="0"/>
              <w:snapToGrid w:val="0"/>
              <w:spacing w:line="360" w:lineRule="auto"/>
              <w:ind w:left="425" w:leftChars="0" w:hanging="425" w:firstLineChars="0"/>
              <w:jc w:val="center"/>
              <w:rPr>
                <w:rFonts w:ascii="宋体" w:hAnsi="宋体" w:eastAsia="宋体" w:cs="宋体"/>
                <w:color w:val="auto"/>
                <w:sz w:val="24"/>
                <w:szCs w:val="24"/>
                <w:highlight w:val="none"/>
              </w:rPr>
            </w:pPr>
          </w:p>
        </w:tc>
        <w:tc>
          <w:tcPr>
            <w:tcW w:w="867" w:type="pct"/>
            <w:tcBorders>
              <w:bottom w:val="single" w:color="auto" w:sz="4" w:space="0"/>
            </w:tcBorders>
            <w:vAlign w:val="center"/>
          </w:tcPr>
          <w:p w14:paraId="7DFB730E">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供应商资格声明书</w:t>
            </w:r>
          </w:p>
        </w:tc>
        <w:tc>
          <w:tcPr>
            <w:tcW w:w="2470" w:type="pct"/>
            <w:tcBorders>
              <w:bottom w:val="single" w:color="auto" w:sz="4" w:space="0"/>
            </w:tcBorders>
            <w:vAlign w:val="center"/>
          </w:tcPr>
          <w:p w14:paraId="502CFA23">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提供符合磋商文件要求的《供应商资格声明书》。</w:t>
            </w:r>
          </w:p>
        </w:tc>
        <w:tc>
          <w:tcPr>
            <w:tcW w:w="1255" w:type="pct"/>
            <w:vAlign w:val="center"/>
          </w:tcPr>
          <w:p w14:paraId="2186EAEF">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3E7C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bottom w:val="single" w:color="auto" w:sz="4" w:space="0"/>
            </w:tcBorders>
            <w:vAlign w:val="center"/>
          </w:tcPr>
          <w:p w14:paraId="0C0F9DAD">
            <w:pPr>
              <w:numPr>
                <w:ilvl w:val="0"/>
                <w:numId w:val="2"/>
              </w:numPr>
              <w:adjustRightInd w:val="0"/>
              <w:snapToGrid w:val="0"/>
              <w:spacing w:line="360" w:lineRule="auto"/>
              <w:ind w:left="425" w:leftChars="0" w:hanging="425" w:firstLineChars="0"/>
              <w:jc w:val="center"/>
              <w:rPr>
                <w:rFonts w:hint="default" w:ascii="宋体" w:hAnsi="宋体" w:eastAsia="宋体" w:cs="宋体"/>
                <w:color w:val="auto"/>
                <w:sz w:val="24"/>
                <w:szCs w:val="24"/>
                <w:highlight w:val="none"/>
                <w:lang w:val="en-US" w:eastAsia="zh-CN"/>
              </w:rPr>
            </w:pPr>
          </w:p>
        </w:tc>
        <w:tc>
          <w:tcPr>
            <w:tcW w:w="867" w:type="pct"/>
            <w:tcBorders>
              <w:bottom w:val="single" w:color="auto" w:sz="4" w:space="0"/>
            </w:tcBorders>
            <w:vAlign w:val="center"/>
          </w:tcPr>
          <w:p w14:paraId="7CD8A1E9">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磋商响应函</w:t>
            </w:r>
          </w:p>
        </w:tc>
        <w:tc>
          <w:tcPr>
            <w:tcW w:w="2470" w:type="pct"/>
            <w:tcBorders>
              <w:bottom w:val="single" w:color="auto" w:sz="4" w:space="0"/>
            </w:tcBorders>
            <w:vAlign w:val="center"/>
          </w:tcPr>
          <w:p w14:paraId="38E33829">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格式、填写要求符合磋商文件规定并加盖</w:t>
            </w:r>
            <w:r>
              <w:rPr>
                <w:rFonts w:hint="eastAsia" w:ascii="宋体" w:hAnsi="宋体" w:eastAsia="宋体" w:cs="宋体"/>
                <w:color w:val="auto"/>
                <w:sz w:val="24"/>
                <w:szCs w:val="24"/>
                <w:highlight w:val="none"/>
                <w:lang w:eastAsia="zh-CN"/>
              </w:rPr>
              <w:t>供应商公章</w:t>
            </w:r>
          </w:p>
        </w:tc>
        <w:tc>
          <w:tcPr>
            <w:tcW w:w="1255" w:type="pct"/>
            <w:tcBorders>
              <w:bottom w:val="single" w:color="auto" w:sz="4" w:space="0"/>
            </w:tcBorders>
            <w:vAlign w:val="center"/>
          </w:tcPr>
          <w:p w14:paraId="336FCE91">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7D559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bottom w:val="single" w:color="auto" w:sz="4" w:space="0"/>
            </w:tcBorders>
            <w:vAlign w:val="center"/>
          </w:tcPr>
          <w:p w14:paraId="09E1CA42">
            <w:pPr>
              <w:numPr>
                <w:ilvl w:val="0"/>
                <w:numId w:val="2"/>
              </w:numPr>
              <w:adjustRightInd w:val="0"/>
              <w:snapToGrid w:val="0"/>
              <w:spacing w:line="360" w:lineRule="auto"/>
              <w:ind w:left="425" w:leftChars="0" w:hanging="425" w:firstLineChars="0"/>
              <w:jc w:val="center"/>
              <w:rPr>
                <w:rFonts w:hint="eastAsia" w:ascii="宋体" w:hAnsi="宋体" w:eastAsia="宋体" w:cs="宋体"/>
                <w:color w:val="auto"/>
                <w:sz w:val="24"/>
                <w:szCs w:val="24"/>
                <w:highlight w:val="none"/>
                <w:lang w:eastAsia="zh-CN"/>
              </w:rPr>
            </w:pPr>
          </w:p>
        </w:tc>
        <w:tc>
          <w:tcPr>
            <w:tcW w:w="867" w:type="pct"/>
            <w:tcBorders>
              <w:bottom w:val="single" w:color="auto" w:sz="4" w:space="0"/>
            </w:tcBorders>
            <w:vAlign w:val="center"/>
          </w:tcPr>
          <w:p w14:paraId="20ABE079">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授权书</w:t>
            </w:r>
          </w:p>
        </w:tc>
        <w:tc>
          <w:tcPr>
            <w:tcW w:w="2470" w:type="pct"/>
            <w:tcBorders>
              <w:bottom w:val="single" w:color="auto" w:sz="4" w:space="0"/>
            </w:tcBorders>
            <w:vAlign w:val="center"/>
          </w:tcPr>
          <w:p w14:paraId="6FE7220C">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格式、填写要求符合</w:t>
            </w:r>
            <w:r>
              <w:rPr>
                <w:rFonts w:hint="eastAsia" w:ascii="宋体" w:hAnsi="宋体" w:eastAsia="宋体" w:cs="宋体"/>
                <w:color w:val="auto"/>
                <w:spacing w:val="10"/>
                <w:sz w:val="24"/>
                <w:szCs w:val="24"/>
                <w:highlight w:val="none"/>
              </w:rPr>
              <w:t>磋商</w:t>
            </w:r>
            <w:r>
              <w:rPr>
                <w:rFonts w:hint="eastAsia" w:ascii="宋体" w:hAnsi="宋体" w:eastAsia="宋体" w:cs="宋体"/>
                <w:color w:val="auto"/>
                <w:sz w:val="24"/>
                <w:szCs w:val="24"/>
                <w:highlight w:val="none"/>
              </w:rPr>
              <w:t>文件规定并加盖</w:t>
            </w:r>
            <w:r>
              <w:rPr>
                <w:rFonts w:hint="eastAsia" w:ascii="宋体" w:hAnsi="宋体" w:eastAsia="宋体" w:cs="宋体"/>
                <w:color w:val="auto"/>
                <w:sz w:val="24"/>
                <w:szCs w:val="24"/>
                <w:highlight w:val="none"/>
                <w:lang w:eastAsia="zh-CN"/>
              </w:rPr>
              <w:t>供应商公章</w:t>
            </w:r>
          </w:p>
        </w:tc>
        <w:tc>
          <w:tcPr>
            <w:tcW w:w="1255" w:type="pct"/>
            <w:tcBorders>
              <w:bottom w:val="single" w:color="auto" w:sz="4" w:space="0"/>
            </w:tcBorders>
            <w:vAlign w:val="center"/>
          </w:tcPr>
          <w:p w14:paraId="6C0F3327">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法定代表人参加磋商的无需此件，提供身份证明即可。详见第六章响应文件格式。</w:t>
            </w:r>
          </w:p>
        </w:tc>
      </w:tr>
      <w:tr w14:paraId="1F3F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bottom w:val="single" w:color="auto" w:sz="4" w:space="0"/>
            </w:tcBorders>
            <w:vAlign w:val="center"/>
          </w:tcPr>
          <w:p w14:paraId="5A468294">
            <w:pPr>
              <w:numPr>
                <w:ilvl w:val="0"/>
                <w:numId w:val="2"/>
              </w:numPr>
              <w:adjustRightInd w:val="0"/>
              <w:snapToGrid w:val="0"/>
              <w:spacing w:line="360" w:lineRule="auto"/>
              <w:ind w:left="425" w:leftChars="0" w:hanging="425" w:firstLineChars="0"/>
              <w:jc w:val="center"/>
              <w:rPr>
                <w:rFonts w:hint="eastAsia" w:ascii="宋体" w:hAnsi="宋体" w:eastAsia="宋体" w:cs="宋体"/>
                <w:color w:val="auto"/>
                <w:sz w:val="24"/>
                <w:szCs w:val="24"/>
                <w:highlight w:val="none"/>
                <w:lang w:eastAsia="zh-CN"/>
              </w:rPr>
            </w:pPr>
          </w:p>
        </w:tc>
        <w:tc>
          <w:tcPr>
            <w:tcW w:w="867" w:type="pct"/>
            <w:tcBorders>
              <w:bottom w:val="single" w:color="auto" w:sz="4" w:space="0"/>
            </w:tcBorders>
            <w:vAlign w:val="center"/>
          </w:tcPr>
          <w:p w14:paraId="4F451EDD">
            <w:pPr>
              <w:spacing w:line="360" w:lineRule="auto"/>
              <w:jc w:val="center"/>
              <w:rPr>
                <w:rFonts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磋商报价</w:t>
            </w:r>
          </w:p>
        </w:tc>
        <w:tc>
          <w:tcPr>
            <w:tcW w:w="2470" w:type="pct"/>
            <w:tcBorders>
              <w:bottom w:val="single" w:color="auto" w:sz="4" w:space="0"/>
            </w:tcBorders>
            <w:vAlign w:val="center"/>
          </w:tcPr>
          <w:p w14:paraId="6725D75A">
            <w:pPr>
              <w:spacing w:line="360" w:lineRule="auto"/>
              <w:jc w:val="center"/>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pacing w:val="10"/>
                <w:sz w:val="24"/>
                <w:szCs w:val="24"/>
                <w:highlight w:val="none"/>
              </w:rPr>
              <w:t>磋商</w:t>
            </w:r>
            <w:r>
              <w:rPr>
                <w:rFonts w:hint="eastAsia" w:ascii="宋体" w:hAnsi="宋体" w:eastAsia="宋体" w:cs="宋体"/>
                <w:color w:val="auto"/>
                <w:sz w:val="24"/>
                <w:szCs w:val="24"/>
                <w:highlight w:val="none"/>
              </w:rPr>
              <w:t>文件供应商须知正文第9条要求</w:t>
            </w:r>
          </w:p>
        </w:tc>
        <w:tc>
          <w:tcPr>
            <w:tcW w:w="1255" w:type="pct"/>
            <w:tcBorders>
              <w:bottom w:val="single" w:color="auto" w:sz="4" w:space="0"/>
            </w:tcBorders>
            <w:vAlign w:val="center"/>
          </w:tcPr>
          <w:p w14:paraId="38C53721">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6CB1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74EF329C">
            <w:pPr>
              <w:numPr>
                <w:ilvl w:val="0"/>
                <w:numId w:val="2"/>
              </w:numPr>
              <w:adjustRightInd w:val="0"/>
              <w:snapToGrid w:val="0"/>
              <w:spacing w:line="360" w:lineRule="auto"/>
              <w:ind w:left="425" w:leftChars="0" w:hanging="425" w:firstLineChars="0"/>
              <w:jc w:val="center"/>
              <w:rPr>
                <w:rFonts w:hint="eastAsia" w:ascii="宋体" w:hAnsi="宋体" w:eastAsia="宋体" w:cs="宋体"/>
                <w:color w:val="auto"/>
                <w:sz w:val="24"/>
                <w:szCs w:val="24"/>
                <w:highlight w:val="none"/>
                <w:lang w:eastAsia="zh-CN"/>
              </w:rPr>
            </w:pPr>
          </w:p>
        </w:tc>
        <w:tc>
          <w:tcPr>
            <w:tcW w:w="867" w:type="pct"/>
            <w:vAlign w:val="center"/>
          </w:tcPr>
          <w:p w14:paraId="2596656B">
            <w:pPr>
              <w:spacing w:line="360" w:lineRule="auto"/>
              <w:jc w:val="center"/>
              <w:rPr>
                <w:rFonts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商务响应情况</w:t>
            </w:r>
          </w:p>
        </w:tc>
        <w:tc>
          <w:tcPr>
            <w:tcW w:w="2470" w:type="pct"/>
            <w:vAlign w:val="center"/>
          </w:tcPr>
          <w:p w14:paraId="1F0BF232">
            <w:pPr>
              <w:spacing w:line="360" w:lineRule="auto"/>
              <w:jc w:val="center"/>
              <w:rPr>
                <w:rFonts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符合磋商文件采购需求中付款方式、服务期限、服务地点</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lang w:val="en-US" w:eastAsia="zh-CN"/>
              </w:rPr>
              <w:t>服务质量</w:t>
            </w:r>
            <w:r>
              <w:rPr>
                <w:rFonts w:hint="eastAsia" w:ascii="宋体" w:hAnsi="宋体" w:eastAsia="宋体" w:cs="宋体"/>
                <w:color w:val="auto"/>
                <w:spacing w:val="10"/>
                <w:sz w:val="24"/>
                <w:szCs w:val="24"/>
                <w:highlight w:val="none"/>
              </w:rPr>
              <w:t>的要求</w:t>
            </w:r>
          </w:p>
        </w:tc>
        <w:tc>
          <w:tcPr>
            <w:tcW w:w="1255" w:type="pct"/>
            <w:vAlign w:val="center"/>
          </w:tcPr>
          <w:p w14:paraId="17A6B390">
            <w:pPr>
              <w:spacing w:line="360" w:lineRule="auto"/>
              <w:jc w:val="center"/>
              <w:rPr>
                <w:rFonts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详见第六章响应文件格式。</w:t>
            </w:r>
          </w:p>
        </w:tc>
      </w:tr>
      <w:tr w14:paraId="4856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4DA708E3">
            <w:pPr>
              <w:numPr>
                <w:ilvl w:val="0"/>
                <w:numId w:val="2"/>
              </w:numPr>
              <w:adjustRightInd w:val="0"/>
              <w:snapToGrid w:val="0"/>
              <w:spacing w:line="360" w:lineRule="auto"/>
              <w:ind w:left="425" w:leftChars="0" w:hanging="425" w:firstLineChars="0"/>
              <w:jc w:val="center"/>
              <w:rPr>
                <w:rFonts w:hint="default" w:ascii="宋体" w:hAnsi="宋体" w:eastAsia="宋体" w:cs="宋体"/>
                <w:color w:val="auto"/>
                <w:sz w:val="24"/>
                <w:szCs w:val="24"/>
                <w:highlight w:val="none"/>
                <w:lang w:val="en-US"/>
              </w:rPr>
            </w:pPr>
          </w:p>
        </w:tc>
        <w:tc>
          <w:tcPr>
            <w:tcW w:w="867" w:type="pct"/>
            <w:vAlign w:val="center"/>
          </w:tcPr>
          <w:p w14:paraId="4D1552F5">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2470" w:type="pct"/>
            <w:vAlign w:val="center"/>
          </w:tcPr>
          <w:p w14:paraId="0F1DF29D">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符合法律、行政法规规定的其他条件或磋商文件列明的其他实质性要求</w:t>
            </w:r>
          </w:p>
        </w:tc>
        <w:tc>
          <w:tcPr>
            <w:tcW w:w="1255" w:type="pct"/>
            <w:vAlign w:val="center"/>
          </w:tcPr>
          <w:p w14:paraId="3A758477">
            <w:pPr>
              <w:adjustRightInd w:val="0"/>
              <w:snapToGrid w:val="0"/>
              <w:spacing w:line="360" w:lineRule="auto"/>
              <w:jc w:val="center"/>
              <w:rPr>
                <w:rFonts w:ascii="宋体" w:hAnsi="宋体" w:eastAsia="宋体" w:cs="宋体"/>
                <w:color w:val="auto"/>
                <w:sz w:val="24"/>
                <w:szCs w:val="24"/>
                <w:highlight w:val="none"/>
              </w:rPr>
            </w:pPr>
          </w:p>
        </w:tc>
      </w:tr>
    </w:tbl>
    <w:p w14:paraId="75020444">
      <w:pPr>
        <w:spacing w:line="360" w:lineRule="auto"/>
        <w:ind w:firstLine="435"/>
        <w:rPr>
          <w:rFonts w:ascii="宋体" w:hAnsi="宋体" w:eastAsia="宋体" w:cs="宋体"/>
          <w:color w:val="auto"/>
          <w:sz w:val="24"/>
          <w:highlight w:val="none"/>
        </w:rPr>
      </w:pPr>
      <w:r>
        <w:rPr>
          <w:rFonts w:hint="eastAsia" w:ascii="宋体" w:hAnsi="宋体" w:eastAsia="宋体" w:cs="宋体"/>
          <w:b/>
          <w:bCs/>
          <w:color w:val="auto"/>
          <w:sz w:val="24"/>
          <w:highlight w:val="none"/>
        </w:rPr>
        <w:t>初审指标通过标准：</w:t>
      </w:r>
      <w:r>
        <w:rPr>
          <w:rFonts w:hint="eastAsia" w:ascii="宋体" w:hAnsi="宋体" w:eastAsia="宋体" w:cs="宋体"/>
          <w:color w:val="auto"/>
          <w:sz w:val="24"/>
          <w:highlight w:val="none"/>
        </w:rPr>
        <w:t>供应商必须通过初审表中的全部评审指标。</w:t>
      </w:r>
    </w:p>
    <w:p w14:paraId="28C79B25">
      <w:pPr>
        <w:spacing w:line="360" w:lineRule="auto"/>
        <w:ind w:firstLine="435"/>
        <w:outlineLvl w:val="2"/>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2.2</w:t>
      </w:r>
      <w:r>
        <w:rPr>
          <w:rFonts w:hint="eastAsia" w:ascii="宋体" w:hAnsi="宋体" w:eastAsia="宋体" w:cs="宋体"/>
          <w:b/>
          <w:color w:val="auto"/>
          <w:sz w:val="24"/>
          <w:highlight w:val="none"/>
          <w:lang w:eastAsia="zh-CN"/>
        </w:rPr>
        <w:t>异常低价响应审查</w:t>
      </w:r>
    </w:p>
    <w:tbl>
      <w:tblPr>
        <w:tblStyle w:val="23"/>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561"/>
        <w:gridCol w:w="4779"/>
        <w:gridCol w:w="2433"/>
      </w:tblGrid>
      <w:tr w14:paraId="2BC3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3CB46F70">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14:paraId="21FC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1C368A28">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64FAB42A">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0F5FE619">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0AC220BB">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18EF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05" w:type="dxa"/>
            <w:tcBorders>
              <w:bottom w:val="single" w:color="auto" w:sz="4" w:space="0"/>
            </w:tcBorders>
            <w:vAlign w:val="center"/>
          </w:tcPr>
          <w:p w14:paraId="4D62F85D">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3C2E8E7A">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异常低价响应审查</w:t>
            </w:r>
          </w:p>
        </w:tc>
        <w:tc>
          <w:tcPr>
            <w:tcW w:w="4439" w:type="dxa"/>
            <w:tcBorders>
              <w:bottom w:val="single" w:color="auto" w:sz="4" w:space="0"/>
            </w:tcBorders>
            <w:vAlign w:val="center"/>
          </w:tcPr>
          <w:p w14:paraId="72C1B9AA">
            <w:pPr>
              <w:pStyle w:val="5"/>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val="0"/>
                <w:bCs w:val="0"/>
                <w:i w:val="0"/>
                <w:iCs w:val="0"/>
                <w:sz w:val="24"/>
                <w:szCs w:val="24"/>
                <w:highlight w:val="none"/>
                <w:u w:val="none"/>
                <w:lang w:val="en-US" w:eastAsia="zh-CN"/>
              </w:rPr>
            </w:pPr>
            <w:permStart w:id="0" w:edGrp="everyone"/>
            <w:permEnd w:id="0"/>
            <w:r>
              <w:rPr>
                <w:rFonts w:hint="eastAsia" w:ascii="宋体" w:hAnsi="宋体" w:eastAsia="宋体" w:cs="宋体"/>
                <w:b w:val="0"/>
                <w:bCs w:val="0"/>
                <w:i w:val="0"/>
                <w:iCs w:val="0"/>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auto"/>
                <w:sz w:val="24"/>
                <w:szCs w:val="24"/>
                <w:highlight w:val="none"/>
                <w:u w:val="single"/>
                <w:lang w:val="en-US" w:eastAsia="zh-CN"/>
              </w:rPr>
              <w:t>55%</w:t>
            </w:r>
            <w:r>
              <w:rPr>
                <w:rFonts w:hint="eastAsia" w:ascii="宋体" w:hAnsi="宋体" w:eastAsia="宋体" w:cs="宋体"/>
                <w:b w:val="0"/>
                <w:bCs w:val="0"/>
                <w:i w:val="0"/>
                <w:iCs w:val="0"/>
                <w:sz w:val="24"/>
                <w:szCs w:val="24"/>
                <w:highlight w:val="none"/>
                <w:u w:val="none"/>
                <w:lang w:val="en-US" w:eastAsia="zh-CN"/>
              </w:rPr>
              <w:t>；</w:t>
            </w:r>
          </w:p>
          <w:p w14:paraId="2AD7CC1D">
            <w:pPr>
              <w:pStyle w:val="5"/>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val="0"/>
                <w:bCs w:val="0"/>
                <w:i w:val="0"/>
                <w:iCs w:val="0"/>
                <w:sz w:val="24"/>
                <w:szCs w:val="24"/>
                <w:highlight w:val="none"/>
                <w:u w:val="none"/>
                <w:lang w:val="en-US" w:eastAsia="zh-CN"/>
              </w:rPr>
            </w:pPr>
            <w:permStart w:id="1" w:edGrp="everyone"/>
            <w:permEnd w:id="1"/>
            <w:r>
              <w:rPr>
                <w:rFonts w:hint="eastAsia" w:ascii="宋体" w:hAnsi="宋体" w:eastAsia="宋体" w:cs="宋体"/>
                <w:b w:val="0"/>
                <w:bCs w:val="0"/>
                <w:i w:val="0"/>
                <w:iCs w:val="0"/>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auto"/>
                <w:sz w:val="24"/>
                <w:szCs w:val="24"/>
                <w:highlight w:val="none"/>
                <w:u w:val="single"/>
                <w:lang w:val="en-US" w:eastAsia="zh-CN"/>
              </w:rPr>
              <w:t>55%</w:t>
            </w:r>
            <w:r>
              <w:rPr>
                <w:rFonts w:hint="eastAsia" w:ascii="宋体" w:hAnsi="宋体" w:eastAsia="宋体" w:cs="宋体"/>
                <w:b w:val="0"/>
                <w:bCs w:val="0"/>
                <w:i w:val="0"/>
                <w:iCs w:val="0"/>
                <w:sz w:val="24"/>
                <w:szCs w:val="24"/>
                <w:highlight w:val="none"/>
                <w:u w:val="none"/>
                <w:lang w:val="en-US" w:eastAsia="zh-CN"/>
              </w:rPr>
              <w:t>；</w:t>
            </w:r>
          </w:p>
          <w:p w14:paraId="50A37821">
            <w:pPr>
              <w:pStyle w:val="5"/>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val="0"/>
                <w:bCs w:val="0"/>
                <w:i w:val="0"/>
                <w:iCs w:val="0"/>
                <w:sz w:val="24"/>
                <w:szCs w:val="24"/>
                <w:highlight w:val="none"/>
                <w:u w:val="none"/>
                <w:lang w:val="en-US" w:eastAsia="zh-CN"/>
              </w:rPr>
            </w:pPr>
            <w:permStart w:id="2" w:edGrp="everyone"/>
            <w:permEnd w:id="2"/>
            <w:r>
              <w:rPr>
                <w:rFonts w:hint="eastAsia" w:ascii="宋体" w:hAnsi="宋体" w:eastAsia="宋体" w:cs="宋体"/>
                <w:b w:val="0"/>
                <w:bCs w:val="0"/>
                <w:i w:val="0"/>
                <w:iCs w:val="0"/>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sz w:val="24"/>
                <w:szCs w:val="24"/>
                <w:highlight w:val="none"/>
                <w:u w:val="none"/>
                <w:lang w:val="en-US" w:eastAsia="zh-CN"/>
              </w:rPr>
              <w:t>；</w:t>
            </w:r>
          </w:p>
          <w:p w14:paraId="4A94CFCA">
            <w:pPr>
              <w:pStyle w:val="5"/>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（4）磋商小组基于专业判断，认为供应商报价过低，有可能影响产品质量或者不能诚信履约的其他情形。</w:t>
            </w:r>
          </w:p>
          <w:p w14:paraId="771794A2">
            <w:pPr>
              <w:pStyle w:val="5"/>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提醒：</w:t>
            </w:r>
          </w:p>
          <w:p w14:paraId="356D80AB">
            <w:pPr>
              <w:pStyle w:val="5"/>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59F38967">
            <w:pPr>
              <w:pStyle w:val="5"/>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2）上述报价均为供应商最后报价。</w:t>
            </w:r>
          </w:p>
        </w:tc>
        <w:tc>
          <w:tcPr>
            <w:tcW w:w="2260" w:type="dxa"/>
            <w:vAlign w:val="center"/>
          </w:tcPr>
          <w:p w14:paraId="3DFCB925">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63C147DF">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14:paraId="7F088E64">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rPr>
        <w:t>根据《关于推进解决政府采购异常低价问题的通知》（财库〔2026〕2号），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5CB1BCDB">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4168BFE5">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6B14374F">
      <w:pPr>
        <w:spacing w:line="360" w:lineRule="auto"/>
        <w:ind w:firstLine="435"/>
        <w:outlineLvl w:val="2"/>
        <w:rPr>
          <w:rFonts w:hint="eastAsia" w:ascii="宋体" w:hAnsi="宋体" w:eastAsia="宋体" w:cs="宋体"/>
          <w:b/>
          <w:color w:val="auto"/>
          <w:sz w:val="24"/>
          <w:highlight w:val="none"/>
        </w:rPr>
      </w:pPr>
      <w:r>
        <w:rPr>
          <w:rFonts w:hint="eastAsia" w:ascii="宋体" w:hAnsi="宋体" w:eastAsia="宋体"/>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44FA29C0">
      <w:pPr>
        <w:spacing w:line="360" w:lineRule="auto"/>
        <w:ind w:firstLine="435"/>
        <w:outlineLvl w:val="2"/>
        <w:rPr>
          <w:rFonts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2.3</w:t>
      </w:r>
      <w:r>
        <w:rPr>
          <w:rFonts w:hint="eastAsia" w:ascii="宋体" w:hAnsi="宋体" w:eastAsia="宋体" w:cs="宋体"/>
          <w:b/>
          <w:color w:val="auto"/>
          <w:sz w:val="24"/>
          <w:highlight w:val="none"/>
        </w:rPr>
        <w:t>综合评分</w:t>
      </w:r>
    </w:p>
    <w:p w14:paraId="2897F28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.1磋商小组按照下表对进入综合评分的所有供应商的响应文件进行综合评分。</w:t>
      </w:r>
    </w:p>
    <w:p w14:paraId="411C9814">
      <w:pPr>
        <w:spacing w:line="360" w:lineRule="auto"/>
        <w:ind w:firstLine="435"/>
        <w:rPr>
          <w:rFonts w:ascii="宋体" w:hAnsi="宋体" w:eastAsia="宋体" w:cs="宋体"/>
          <w:color w:val="auto"/>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.2本项目综合评分满分为 100 分，其中：技术资信分值占总分值的权重为</w:t>
      </w:r>
      <w:r>
        <w:rPr>
          <w:rFonts w:hint="eastAsia" w:ascii="宋体" w:hAnsi="宋体" w:eastAsia="宋体" w:cs="宋体"/>
          <w:color w:val="auto"/>
          <w:sz w:val="24"/>
          <w:highlight w:val="none"/>
          <w:u w:val="single"/>
          <w:lang w:val="en-US" w:eastAsia="zh-CN"/>
        </w:rPr>
        <w:t>90</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rPr>
        <w:t>%（价格分值占总分值的比重(即权值)为10%至30%。）《竞争性磋商管理办法规定》。具体评分细则如下：</w:t>
      </w:r>
    </w:p>
    <w:tbl>
      <w:tblPr>
        <w:tblStyle w:val="23"/>
        <w:tblW w:w="44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1676"/>
        <w:gridCol w:w="5263"/>
      </w:tblGrid>
      <w:tr w14:paraId="6600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6" w:type="pct"/>
            <w:tcBorders>
              <w:top w:val="single" w:color="auto" w:sz="4" w:space="0"/>
              <w:left w:val="single" w:color="auto" w:sz="4" w:space="0"/>
              <w:bottom w:val="single" w:color="auto" w:sz="4" w:space="0"/>
              <w:right w:val="single" w:color="auto" w:sz="4" w:space="0"/>
            </w:tcBorders>
            <w:vAlign w:val="center"/>
          </w:tcPr>
          <w:p w14:paraId="02925511">
            <w:p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类别</w:t>
            </w:r>
          </w:p>
        </w:tc>
        <w:tc>
          <w:tcPr>
            <w:tcW w:w="1037" w:type="pct"/>
            <w:tcBorders>
              <w:top w:val="single" w:color="auto" w:sz="4" w:space="0"/>
              <w:left w:val="single" w:color="auto" w:sz="4" w:space="0"/>
              <w:bottom w:val="single" w:color="auto" w:sz="4" w:space="0"/>
              <w:right w:val="single" w:color="auto" w:sz="4" w:space="0"/>
            </w:tcBorders>
            <w:vAlign w:val="center"/>
          </w:tcPr>
          <w:p w14:paraId="2B79B41C">
            <w:p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评分内容</w:t>
            </w:r>
          </w:p>
        </w:tc>
        <w:tc>
          <w:tcPr>
            <w:tcW w:w="3256" w:type="pct"/>
            <w:tcBorders>
              <w:top w:val="single" w:color="auto" w:sz="4" w:space="0"/>
              <w:left w:val="single" w:color="auto" w:sz="4" w:space="0"/>
              <w:bottom w:val="single" w:color="auto" w:sz="4" w:space="0"/>
              <w:right w:val="single" w:color="auto" w:sz="4" w:space="0"/>
            </w:tcBorders>
            <w:vAlign w:val="center"/>
          </w:tcPr>
          <w:p w14:paraId="0259DC18">
            <w:p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评分标准</w:t>
            </w:r>
          </w:p>
        </w:tc>
      </w:tr>
      <w:tr w14:paraId="0D52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706" w:type="pct"/>
            <w:vMerge w:val="restart"/>
            <w:tcBorders>
              <w:top w:val="single" w:color="auto" w:sz="4" w:space="0"/>
              <w:left w:val="single" w:color="auto" w:sz="4" w:space="0"/>
              <w:right w:val="single" w:color="auto" w:sz="4" w:space="0"/>
            </w:tcBorders>
            <w:vAlign w:val="center"/>
          </w:tcPr>
          <w:p w14:paraId="716585B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技术资信分</w:t>
            </w:r>
          </w:p>
          <w:p w14:paraId="637E7FC3">
            <w:pPr>
              <w:spacing w:line="360" w:lineRule="auto"/>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90</w:t>
            </w:r>
            <w:r>
              <w:rPr>
                <w:rFonts w:hint="eastAsia" w:ascii="宋体" w:hAnsi="宋体" w:eastAsia="宋体" w:cs="宋体"/>
                <w:color w:val="auto"/>
                <w:sz w:val="24"/>
                <w:highlight w:val="none"/>
              </w:rPr>
              <w:t>分）</w:t>
            </w:r>
          </w:p>
        </w:tc>
        <w:tc>
          <w:tcPr>
            <w:tcW w:w="1037" w:type="pct"/>
            <w:tcBorders>
              <w:top w:val="single" w:color="auto" w:sz="4" w:space="0"/>
              <w:left w:val="single" w:color="auto" w:sz="4" w:space="0"/>
              <w:bottom w:val="single" w:color="auto" w:sz="4" w:space="0"/>
              <w:right w:val="single" w:color="auto" w:sz="4" w:space="0"/>
            </w:tcBorders>
            <w:vAlign w:val="center"/>
          </w:tcPr>
          <w:p w14:paraId="015F6E80">
            <w:pPr>
              <w:pStyle w:val="35"/>
              <w:tabs>
                <w:tab w:val="left" w:pos="825"/>
              </w:tabs>
              <w:autoSpaceDE w:val="0"/>
              <w:autoSpaceDN w:val="0"/>
              <w:spacing w:line="360" w:lineRule="auto"/>
              <w:ind w:firstLine="0" w:firstLineChars="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服务方案</w:t>
            </w:r>
          </w:p>
          <w:p w14:paraId="6F31903F">
            <w:pPr>
              <w:pStyle w:val="35"/>
              <w:tabs>
                <w:tab w:val="left" w:pos="825"/>
              </w:tabs>
              <w:autoSpaceDE w:val="0"/>
              <w:autoSpaceDN w:val="0"/>
              <w:spacing w:line="360" w:lineRule="auto"/>
              <w:ind w:firstLine="0" w:firstLineChars="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（64分）</w:t>
            </w:r>
          </w:p>
        </w:tc>
        <w:tc>
          <w:tcPr>
            <w:tcW w:w="3256" w:type="pct"/>
            <w:tcBorders>
              <w:top w:val="single" w:color="auto" w:sz="4" w:space="0"/>
              <w:left w:val="single" w:color="auto" w:sz="4" w:space="0"/>
              <w:bottom w:val="single" w:color="auto" w:sz="4" w:space="0"/>
              <w:right w:val="single" w:color="auto" w:sz="4" w:space="0"/>
            </w:tcBorders>
            <w:vAlign w:val="center"/>
          </w:tcPr>
          <w:p w14:paraId="6DFC703A">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b/>
                <w:bCs/>
                <w:color w:val="auto"/>
                <w:kern w:val="2"/>
                <w:sz w:val="24"/>
                <w:szCs w:val="20"/>
                <w:highlight w:val="none"/>
                <w:lang w:val="zh-CN" w:eastAsia="zh-CN" w:bidi="ar-SA"/>
              </w:rPr>
            </w:pPr>
            <w:r>
              <w:rPr>
                <w:rFonts w:hint="eastAsia" w:ascii="宋体" w:hAnsi="宋体" w:eastAsia="宋体" w:cs="宋体"/>
                <w:b/>
                <w:bCs/>
                <w:color w:val="auto"/>
                <w:kern w:val="2"/>
                <w:sz w:val="24"/>
                <w:szCs w:val="20"/>
                <w:highlight w:val="none"/>
                <w:lang w:val="zh-CN" w:eastAsia="zh-CN" w:bidi="ar-SA"/>
              </w:rPr>
              <w:t>1.项目理解：</w:t>
            </w:r>
          </w:p>
          <w:p w14:paraId="32EE2E62">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根据本项目现状及背景，依据供应商提供的项目认知、工作思路等进行评分；</w:t>
            </w:r>
          </w:p>
          <w:p w14:paraId="0CDE3A20">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cs="宋体"/>
                <w:b/>
                <w:bCs/>
                <w:color w:val="auto"/>
                <w:kern w:val="2"/>
                <w:sz w:val="24"/>
                <w:szCs w:val="20"/>
                <w:highlight w:val="none"/>
                <w:lang w:val="en-US" w:eastAsia="zh-CN" w:bidi="ar-SA"/>
              </w:rPr>
            </w:pPr>
            <w:r>
              <w:rPr>
                <w:rFonts w:hint="eastAsia" w:ascii="宋体" w:hAnsi="宋体" w:eastAsia="宋体" w:cs="宋体"/>
                <w:b/>
                <w:bCs/>
                <w:color w:val="auto"/>
                <w:kern w:val="2"/>
                <w:sz w:val="24"/>
                <w:szCs w:val="20"/>
                <w:highlight w:val="none"/>
                <w:lang w:val="zh-CN" w:eastAsia="zh-CN" w:bidi="ar-SA"/>
              </w:rPr>
              <w:t>2.满足热线服务质量要求的能力保证：</w:t>
            </w:r>
          </w:p>
          <w:p w14:paraId="5A0D660F">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机构建设和业务能力保障等相关方面的具体方法和保障措施。包括但不限于：项目团队的组织机构建设方案、满足热线服务质量要求的能力保证、话务预测、效能管理等；</w:t>
            </w:r>
          </w:p>
          <w:p w14:paraId="5F3851E3">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b/>
                <w:bCs/>
                <w:color w:val="auto"/>
                <w:kern w:val="2"/>
                <w:sz w:val="24"/>
                <w:szCs w:val="20"/>
                <w:highlight w:val="none"/>
                <w:lang w:val="zh-CN" w:eastAsia="zh-CN" w:bidi="ar-SA"/>
              </w:rPr>
            </w:pPr>
            <w:r>
              <w:rPr>
                <w:rFonts w:hint="eastAsia" w:ascii="宋体" w:hAnsi="宋体" w:eastAsia="宋体" w:cs="宋体"/>
                <w:b/>
                <w:bCs/>
                <w:color w:val="auto"/>
                <w:kern w:val="2"/>
                <w:sz w:val="24"/>
                <w:szCs w:val="20"/>
                <w:highlight w:val="none"/>
                <w:lang w:val="zh-CN" w:eastAsia="zh-CN" w:bidi="ar-SA"/>
              </w:rPr>
              <w:t>3.人员培训方案：</w:t>
            </w:r>
          </w:p>
          <w:p w14:paraId="37C22ACE">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供应商提供人员培训制度，有针对各类人员的培训计划、方式、目标及行为规范的培训等；</w:t>
            </w:r>
          </w:p>
          <w:p w14:paraId="11809EE2">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b/>
                <w:bCs/>
                <w:color w:val="auto"/>
                <w:kern w:val="2"/>
                <w:sz w:val="24"/>
                <w:szCs w:val="20"/>
                <w:highlight w:val="none"/>
                <w:lang w:val="zh-CN" w:eastAsia="zh-CN" w:bidi="ar-SA"/>
              </w:rPr>
              <w:t>4.人员管理制度</w:t>
            </w:r>
            <w:r>
              <w:rPr>
                <w:rFonts w:hint="eastAsia" w:ascii="宋体" w:hAnsi="宋体" w:eastAsia="宋体" w:cs="宋体"/>
                <w:color w:val="auto"/>
                <w:kern w:val="2"/>
                <w:sz w:val="24"/>
                <w:szCs w:val="20"/>
                <w:highlight w:val="none"/>
                <w:lang w:val="zh-CN" w:eastAsia="zh-CN" w:bidi="ar-SA"/>
              </w:rPr>
              <w:t>：</w:t>
            </w:r>
          </w:p>
          <w:p w14:paraId="22B9E2CD">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 xml:space="preserve">人员管理服务制度（含考核制度）、人员管理服务工作计划及人员档案管理制度等； </w:t>
            </w:r>
          </w:p>
          <w:p w14:paraId="48D7E110">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b/>
                <w:bCs/>
                <w:color w:val="auto"/>
                <w:kern w:val="2"/>
                <w:sz w:val="24"/>
                <w:szCs w:val="20"/>
                <w:highlight w:val="none"/>
                <w:lang w:val="zh-CN" w:eastAsia="zh-CN" w:bidi="ar-SA"/>
              </w:rPr>
            </w:pPr>
            <w:r>
              <w:rPr>
                <w:rFonts w:hint="eastAsia" w:ascii="宋体" w:hAnsi="宋体" w:eastAsia="宋体" w:cs="宋体"/>
                <w:b/>
                <w:bCs/>
                <w:color w:val="auto"/>
                <w:kern w:val="2"/>
                <w:sz w:val="24"/>
                <w:szCs w:val="20"/>
                <w:highlight w:val="none"/>
                <w:lang w:val="zh-CN" w:eastAsia="zh-CN" w:bidi="ar-SA"/>
              </w:rPr>
              <w:t>5.日常运营方案：</w:t>
            </w:r>
          </w:p>
          <w:p w14:paraId="06EA01BD">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构建日常运营管理体系，包括排班管理、值班制度、工单处理流程（转办、催办、回访）、工作台账管理等；</w:t>
            </w:r>
          </w:p>
          <w:p w14:paraId="1BD70BC1">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b/>
                <w:bCs/>
                <w:color w:val="auto"/>
                <w:kern w:val="2"/>
                <w:sz w:val="24"/>
                <w:szCs w:val="20"/>
                <w:highlight w:val="none"/>
                <w:lang w:val="zh-CN" w:eastAsia="zh-CN" w:bidi="ar-SA"/>
              </w:rPr>
            </w:pPr>
            <w:r>
              <w:rPr>
                <w:rFonts w:hint="eastAsia" w:ascii="宋体" w:hAnsi="宋体" w:eastAsia="宋体" w:cs="宋体"/>
                <w:b/>
                <w:bCs/>
                <w:color w:val="auto"/>
                <w:kern w:val="2"/>
                <w:sz w:val="24"/>
                <w:szCs w:val="20"/>
                <w:highlight w:val="none"/>
                <w:lang w:val="zh-CN" w:eastAsia="zh-CN" w:bidi="ar-SA"/>
              </w:rPr>
              <w:t>6.保密措施：</w:t>
            </w:r>
          </w:p>
          <w:p w14:paraId="35CA48BF">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 xml:space="preserve">依据供应商提供的重要技术、政府机密的保密工作和保密措施等进行评分； </w:t>
            </w:r>
          </w:p>
          <w:p w14:paraId="43CC1A57">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b/>
                <w:bCs/>
                <w:color w:val="auto"/>
                <w:kern w:val="2"/>
                <w:sz w:val="24"/>
                <w:szCs w:val="20"/>
                <w:highlight w:val="none"/>
                <w:lang w:val="zh-CN" w:eastAsia="zh-CN" w:bidi="ar-SA"/>
              </w:rPr>
            </w:pPr>
            <w:r>
              <w:rPr>
                <w:rFonts w:hint="eastAsia" w:ascii="宋体" w:hAnsi="宋体" w:eastAsia="宋体" w:cs="宋体"/>
                <w:b/>
                <w:bCs/>
                <w:color w:val="auto"/>
                <w:kern w:val="2"/>
                <w:sz w:val="24"/>
                <w:szCs w:val="20"/>
                <w:highlight w:val="none"/>
                <w:lang w:val="zh-CN" w:eastAsia="zh-CN" w:bidi="ar-SA"/>
              </w:rPr>
              <w:t>7.突发事件处理预案：</w:t>
            </w:r>
          </w:p>
          <w:p w14:paraId="471991E6">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依据供 应商提供的突发事件、意外事件处置、预案种类是否齐全、预测及防范措施、事故应急预案等进行评分；</w:t>
            </w:r>
          </w:p>
          <w:p w14:paraId="7DBA9428">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b/>
                <w:bCs/>
                <w:color w:val="auto"/>
                <w:kern w:val="2"/>
                <w:sz w:val="24"/>
                <w:szCs w:val="20"/>
                <w:highlight w:val="none"/>
                <w:lang w:val="zh-CN" w:eastAsia="zh-CN" w:bidi="ar-SA"/>
              </w:rPr>
            </w:pPr>
            <w:r>
              <w:rPr>
                <w:rFonts w:hint="eastAsia" w:ascii="宋体" w:hAnsi="宋体" w:eastAsia="宋体" w:cs="宋体"/>
                <w:b/>
                <w:bCs/>
                <w:color w:val="auto"/>
                <w:kern w:val="2"/>
                <w:sz w:val="24"/>
                <w:szCs w:val="20"/>
                <w:highlight w:val="none"/>
                <w:lang w:val="zh-CN" w:eastAsia="zh-CN" w:bidi="ar-SA"/>
              </w:rPr>
              <w:t>8.服务重点、难点分析：</w:t>
            </w:r>
          </w:p>
          <w:p w14:paraId="17095F67">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 xml:space="preserve">依据供应商提供的服务工作内容特点、重难点、关键点分析等进行评分。 </w:t>
            </w:r>
          </w:p>
          <w:p w14:paraId="7471781A">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b/>
                <w:bCs/>
                <w:color w:val="auto"/>
                <w:kern w:val="2"/>
                <w:sz w:val="24"/>
                <w:szCs w:val="20"/>
                <w:highlight w:val="none"/>
                <w:lang w:val="zh-CN" w:eastAsia="zh-CN" w:bidi="ar-SA"/>
              </w:rPr>
            </w:pPr>
            <w:r>
              <w:rPr>
                <w:rFonts w:hint="eastAsia" w:ascii="宋体" w:hAnsi="宋体" w:eastAsia="宋体" w:cs="宋体"/>
                <w:b/>
                <w:bCs/>
                <w:color w:val="auto"/>
                <w:kern w:val="2"/>
                <w:sz w:val="24"/>
                <w:szCs w:val="20"/>
                <w:highlight w:val="none"/>
                <w:lang w:val="zh-CN" w:eastAsia="zh-CN" w:bidi="ar-SA"/>
              </w:rPr>
              <w:t>以上</w:t>
            </w:r>
            <w:r>
              <w:rPr>
                <w:rFonts w:hint="eastAsia" w:ascii="宋体" w:hAnsi="宋体" w:eastAsia="宋体" w:cs="宋体"/>
                <w:b/>
                <w:bCs/>
                <w:color w:val="auto"/>
                <w:kern w:val="2"/>
                <w:sz w:val="24"/>
                <w:szCs w:val="20"/>
                <w:highlight w:val="none"/>
                <w:lang w:val="en-US" w:eastAsia="zh-CN" w:bidi="ar-SA"/>
              </w:rPr>
              <w:t>8</w:t>
            </w:r>
            <w:r>
              <w:rPr>
                <w:rFonts w:hint="eastAsia" w:ascii="宋体" w:hAnsi="宋体" w:eastAsia="宋体" w:cs="宋体"/>
                <w:b/>
                <w:bCs/>
                <w:color w:val="auto"/>
                <w:kern w:val="2"/>
                <w:sz w:val="24"/>
                <w:szCs w:val="20"/>
                <w:highlight w:val="none"/>
                <w:lang w:val="zh-CN" w:eastAsia="zh-CN" w:bidi="ar-SA"/>
              </w:rPr>
              <w:t>个小项每项满分</w:t>
            </w:r>
            <w:r>
              <w:rPr>
                <w:rFonts w:hint="eastAsia" w:ascii="宋体" w:hAnsi="宋体" w:eastAsia="宋体" w:cs="宋体"/>
                <w:b/>
                <w:bCs/>
                <w:color w:val="auto"/>
                <w:kern w:val="2"/>
                <w:sz w:val="24"/>
                <w:szCs w:val="20"/>
                <w:highlight w:val="none"/>
                <w:lang w:val="en-US" w:eastAsia="zh-CN" w:bidi="ar-SA"/>
              </w:rPr>
              <w:t>8</w:t>
            </w:r>
            <w:r>
              <w:rPr>
                <w:rFonts w:hint="eastAsia" w:ascii="宋体" w:hAnsi="宋体" w:eastAsia="宋体" w:cs="宋体"/>
                <w:b/>
                <w:bCs/>
                <w:color w:val="auto"/>
                <w:kern w:val="2"/>
                <w:sz w:val="24"/>
                <w:szCs w:val="20"/>
                <w:highlight w:val="none"/>
                <w:lang w:val="zh-CN" w:eastAsia="zh-CN" w:bidi="ar-SA"/>
              </w:rPr>
              <w:t>分，共</w:t>
            </w:r>
            <w:r>
              <w:rPr>
                <w:rFonts w:hint="eastAsia" w:ascii="宋体" w:hAnsi="宋体" w:eastAsia="宋体" w:cs="宋体"/>
                <w:b/>
                <w:bCs/>
                <w:color w:val="auto"/>
                <w:kern w:val="2"/>
                <w:sz w:val="24"/>
                <w:szCs w:val="20"/>
                <w:highlight w:val="none"/>
                <w:lang w:val="en-US" w:eastAsia="zh-CN" w:bidi="ar-SA"/>
              </w:rPr>
              <w:t>64</w:t>
            </w:r>
            <w:r>
              <w:rPr>
                <w:rFonts w:hint="eastAsia" w:ascii="宋体" w:hAnsi="宋体" w:eastAsia="宋体" w:cs="宋体"/>
                <w:b/>
                <w:bCs/>
                <w:color w:val="auto"/>
                <w:kern w:val="2"/>
                <w:sz w:val="24"/>
                <w:szCs w:val="20"/>
                <w:highlight w:val="none"/>
                <w:lang w:val="zh-CN" w:eastAsia="zh-CN" w:bidi="ar-SA"/>
              </w:rPr>
              <w:t>分；</w:t>
            </w:r>
          </w:p>
          <w:p w14:paraId="7FDB28F2">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磋商小组根据供应商提供的以上内容对每项进行评分：</w:t>
            </w:r>
          </w:p>
          <w:p w14:paraId="0C0FEEAF">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1）方案完全覆盖采购需求要求并对项目内容进行补充，各项内容制定具体的实施方案，且方案条理清晰，利于项目实施，得</w:t>
            </w:r>
            <w:r>
              <w:rPr>
                <w:rFonts w:hint="eastAsia" w:ascii="宋体" w:hAnsi="宋体" w:eastAsia="宋体" w:cs="宋体"/>
                <w:color w:val="auto"/>
                <w:kern w:val="2"/>
                <w:sz w:val="24"/>
                <w:szCs w:val="20"/>
                <w:highlight w:val="none"/>
                <w:lang w:val="en-US" w:eastAsia="zh-CN" w:bidi="ar-SA"/>
              </w:rPr>
              <w:t>6-8</w:t>
            </w:r>
            <w:r>
              <w:rPr>
                <w:rFonts w:hint="eastAsia" w:ascii="宋体" w:hAnsi="宋体" w:eastAsia="宋体" w:cs="宋体"/>
                <w:color w:val="auto"/>
                <w:kern w:val="2"/>
                <w:sz w:val="24"/>
                <w:szCs w:val="20"/>
                <w:highlight w:val="none"/>
                <w:lang w:val="zh-CN" w:eastAsia="zh-CN" w:bidi="ar-SA"/>
              </w:rPr>
              <w:t>分；</w:t>
            </w:r>
          </w:p>
          <w:p w14:paraId="4F45C9AC">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2）方案完全覆盖采购需求要求并对内容进行补充，虽制定各项实施方案，但方案条理不清，得</w:t>
            </w:r>
            <w:r>
              <w:rPr>
                <w:rFonts w:hint="eastAsia" w:ascii="宋体" w:hAnsi="宋体" w:eastAsia="宋体" w:cs="宋体"/>
                <w:color w:val="auto"/>
                <w:kern w:val="2"/>
                <w:sz w:val="24"/>
                <w:szCs w:val="20"/>
                <w:highlight w:val="none"/>
                <w:lang w:val="en-US" w:eastAsia="zh-CN" w:bidi="ar-SA"/>
              </w:rPr>
              <w:t>3-5</w:t>
            </w:r>
            <w:r>
              <w:rPr>
                <w:rFonts w:hint="eastAsia" w:ascii="宋体" w:hAnsi="宋体" w:eastAsia="宋体" w:cs="宋体"/>
                <w:color w:val="auto"/>
                <w:kern w:val="2"/>
                <w:sz w:val="24"/>
                <w:szCs w:val="20"/>
                <w:highlight w:val="none"/>
                <w:lang w:val="zh-CN" w:eastAsia="zh-CN" w:bidi="ar-SA"/>
              </w:rPr>
              <w:t>分；</w:t>
            </w:r>
          </w:p>
          <w:p w14:paraId="42628D4D">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3）方案未完全覆盖采购需求要求，有缺项漏项的，且所提供方案条理不清，不适用本项目，得1</w:t>
            </w:r>
            <w:r>
              <w:rPr>
                <w:rFonts w:hint="eastAsia" w:ascii="宋体" w:hAnsi="宋体" w:eastAsia="宋体" w:cs="宋体"/>
                <w:color w:val="auto"/>
                <w:kern w:val="2"/>
                <w:sz w:val="24"/>
                <w:szCs w:val="20"/>
                <w:highlight w:val="none"/>
                <w:lang w:val="en-US" w:eastAsia="zh-CN" w:bidi="ar-SA"/>
              </w:rPr>
              <w:t>-2</w:t>
            </w:r>
            <w:r>
              <w:rPr>
                <w:rFonts w:hint="eastAsia" w:ascii="宋体" w:hAnsi="宋体" w:eastAsia="宋体" w:cs="宋体"/>
                <w:color w:val="auto"/>
                <w:kern w:val="2"/>
                <w:sz w:val="24"/>
                <w:szCs w:val="20"/>
                <w:highlight w:val="none"/>
                <w:lang w:val="zh-CN" w:eastAsia="zh-CN" w:bidi="ar-SA"/>
              </w:rPr>
              <w:t>分；</w:t>
            </w:r>
          </w:p>
          <w:p w14:paraId="127512C1">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zh-CN" w:eastAsia="zh-CN" w:bidi="ar-SA"/>
              </w:rPr>
              <w:t>4）未提供的不得分。</w:t>
            </w:r>
          </w:p>
        </w:tc>
      </w:tr>
      <w:tr w14:paraId="11E7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6" w:type="pct"/>
            <w:vMerge w:val="continue"/>
            <w:tcBorders>
              <w:left w:val="single" w:color="auto" w:sz="4" w:space="0"/>
              <w:right w:val="single" w:color="auto" w:sz="4" w:space="0"/>
            </w:tcBorders>
            <w:vAlign w:val="center"/>
          </w:tcPr>
          <w:p w14:paraId="76D4BB7A">
            <w:pPr>
              <w:spacing w:line="360" w:lineRule="auto"/>
              <w:ind w:firstLine="435"/>
              <w:jc w:val="center"/>
              <w:rPr>
                <w:rFonts w:ascii="宋体" w:hAnsi="宋体" w:eastAsia="宋体" w:cs="宋体"/>
                <w:b/>
                <w:bCs/>
                <w:color w:val="auto"/>
                <w:sz w:val="24"/>
                <w:highlight w:val="none"/>
              </w:rPr>
            </w:pPr>
          </w:p>
        </w:tc>
        <w:tc>
          <w:tcPr>
            <w:tcW w:w="1037" w:type="pct"/>
            <w:tcBorders>
              <w:top w:val="single" w:color="auto" w:sz="4" w:space="0"/>
              <w:left w:val="single" w:color="auto" w:sz="4" w:space="0"/>
              <w:bottom w:val="single" w:color="auto" w:sz="4" w:space="0"/>
              <w:right w:val="single" w:color="auto" w:sz="4" w:space="0"/>
            </w:tcBorders>
            <w:vAlign w:val="center"/>
          </w:tcPr>
          <w:p w14:paraId="5B5BCF33">
            <w:pPr>
              <w:pStyle w:val="6"/>
              <w:keepNext w:val="0"/>
              <w:keepLines w:val="0"/>
              <w:pageBreakBefore w:val="0"/>
              <w:widowControl w:val="0"/>
              <w:kinsoku w:val="0"/>
              <w:wordWrap/>
              <w:overflowPunct w:val="0"/>
              <w:topLinePunct w:val="0"/>
              <w:autoSpaceDE w:val="0"/>
              <w:autoSpaceDN w:val="0"/>
              <w:bidi w:val="0"/>
              <w:adjustRightInd w:val="0"/>
              <w:snapToGrid/>
              <w:spacing w:line="360" w:lineRule="auto"/>
              <w:ind w:left="105" w:leftChars="50" w:right="105"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服务优化建议（6分）</w:t>
            </w:r>
          </w:p>
          <w:p w14:paraId="7918540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rPr>
                <w:rFonts w:hint="eastAsia" w:ascii="宋体" w:hAnsi="宋体" w:eastAsia="宋体" w:cs="宋体"/>
                <w:color w:val="auto"/>
                <w:kern w:val="2"/>
                <w:sz w:val="24"/>
                <w:szCs w:val="20"/>
                <w:highlight w:val="none"/>
                <w:lang w:val="zh-CN" w:eastAsia="zh-CN" w:bidi="ar-SA"/>
              </w:rPr>
            </w:pPr>
          </w:p>
        </w:tc>
        <w:tc>
          <w:tcPr>
            <w:tcW w:w="3256" w:type="pct"/>
            <w:tcBorders>
              <w:top w:val="single" w:color="auto" w:sz="4" w:space="0"/>
              <w:left w:val="single" w:color="auto" w:sz="4" w:space="0"/>
              <w:bottom w:val="single" w:color="auto" w:sz="4" w:space="0"/>
              <w:right w:val="single" w:color="auto" w:sz="4" w:space="0"/>
            </w:tcBorders>
            <w:vAlign w:val="center"/>
          </w:tcPr>
          <w:p w14:paraId="378C3246">
            <w:pPr>
              <w:pStyle w:val="6"/>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服务优化建议</w:t>
            </w:r>
          </w:p>
          <w:p w14:paraId="448F1884">
            <w:pPr>
              <w:pStyle w:val="6"/>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根据本项目特点及采购需求提出服务优化建议</w:t>
            </w:r>
          </w:p>
          <w:p w14:paraId="17BA43AE">
            <w:pPr>
              <w:pStyle w:val="6"/>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 xml:space="preserve">1）优化建议涵盖并多于采购需求中各项规划内容 ，条理清晰、要点突出、利于项目实施的，得 5-6分； </w:t>
            </w:r>
          </w:p>
          <w:p w14:paraId="0387E53A">
            <w:pPr>
              <w:pStyle w:val="6"/>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 xml:space="preserve">2）优化建议仅参照采购需求，无补充项，但各项建议条理清晰，得 3-4分； </w:t>
            </w:r>
          </w:p>
          <w:p w14:paraId="4EB2CA7F">
            <w:pPr>
              <w:pStyle w:val="6"/>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 xml:space="preserve">3）优化建议完全生搬硬套、冒用其他项目的，不适用本项目的，得 1-2分； </w:t>
            </w:r>
          </w:p>
          <w:p w14:paraId="6A6F5CF2">
            <w:pPr>
              <w:pStyle w:val="6"/>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4）未提供的不得分。</w:t>
            </w:r>
            <w:r>
              <w:rPr>
                <w:rFonts w:hint="eastAsia" w:ascii="宋体" w:hAnsi="宋体" w:eastAsia="宋体" w:cs="宋体"/>
                <w:kern w:val="0"/>
                <w:sz w:val="24"/>
                <w:szCs w:val="24"/>
                <w:highlight w:val="none"/>
                <w:lang w:val="zh-CN" w:bidi="zh-CN"/>
              </w:rPr>
              <w:t xml:space="preserve"> </w:t>
            </w:r>
          </w:p>
        </w:tc>
      </w:tr>
      <w:tr w14:paraId="462D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6" w:type="pct"/>
            <w:vMerge w:val="continue"/>
            <w:tcBorders>
              <w:left w:val="single" w:color="auto" w:sz="4" w:space="0"/>
              <w:right w:val="single" w:color="auto" w:sz="4" w:space="0"/>
            </w:tcBorders>
            <w:vAlign w:val="center"/>
          </w:tcPr>
          <w:p w14:paraId="016CB3A4">
            <w:pPr>
              <w:spacing w:line="360" w:lineRule="auto"/>
              <w:ind w:firstLine="435"/>
              <w:jc w:val="center"/>
              <w:rPr>
                <w:rFonts w:ascii="宋体" w:hAnsi="宋体" w:eastAsia="宋体" w:cs="宋体"/>
                <w:b/>
                <w:bCs/>
                <w:color w:val="auto"/>
                <w:sz w:val="24"/>
                <w:highlight w:val="none"/>
              </w:rPr>
            </w:pPr>
          </w:p>
        </w:tc>
        <w:tc>
          <w:tcPr>
            <w:tcW w:w="1037" w:type="pct"/>
            <w:tcBorders>
              <w:top w:val="single" w:color="auto" w:sz="4" w:space="0"/>
              <w:left w:val="single" w:color="auto" w:sz="4" w:space="0"/>
              <w:bottom w:val="single" w:color="auto" w:sz="4" w:space="0"/>
              <w:right w:val="single" w:color="auto" w:sz="4" w:space="0"/>
            </w:tcBorders>
            <w:vAlign w:val="center"/>
          </w:tcPr>
          <w:p w14:paraId="228F75A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业绩（20分）</w:t>
            </w:r>
          </w:p>
        </w:tc>
        <w:tc>
          <w:tcPr>
            <w:tcW w:w="3256" w:type="pct"/>
            <w:tcBorders>
              <w:top w:val="single" w:color="auto" w:sz="4" w:space="0"/>
              <w:left w:val="single" w:color="auto" w:sz="4" w:space="0"/>
              <w:bottom w:val="single" w:color="auto" w:sz="4" w:space="0"/>
              <w:right w:val="single" w:color="auto" w:sz="4" w:space="0"/>
            </w:tcBorders>
            <w:vAlign w:val="center"/>
          </w:tcPr>
          <w:p w14:paraId="17AA6F0A">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2023年1月1日（以合同签订时间为准）至提交响应文件截止时间止，供应商具有类似业绩的，每提供一项得5分，满分20分。</w:t>
            </w:r>
          </w:p>
          <w:p w14:paraId="2A81888C">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注：（1）本项目对正在履约或履约完成的业绩均予以认可；</w:t>
            </w:r>
          </w:p>
          <w:p w14:paraId="6BC2A9B7">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（2）同一业主单位分年度续签的多份合同视为一个业绩，不累计计分。</w:t>
            </w:r>
          </w:p>
          <w:p w14:paraId="74CB0855">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（3）提供合同复印件或扫描件。如合同中无法体现签订合同时间、项目内容等关键内容，须另附业主单位(或合同甲方)加盖公章的证明材料的扫描件，否则不予认可。</w:t>
            </w:r>
          </w:p>
        </w:tc>
      </w:tr>
      <w:tr w14:paraId="6BA4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706" w:type="pct"/>
            <w:tcBorders>
              <w:left w:val="single" w:color="auto" w:sz="4" w:space="0"/>
              <w:right w:val="single" w:color="auto" w:sz="4" w:space="0"/>
            </w:tcBorders>
            <w:vAlign w:val="center"/>
          </w:tcPr>
          <w:p w14:paraId="7B33A4D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价格分</w:t>
            </w:r>
          </w:p>
          <w:p w14:paraId="11C94F71">
            <w:pPr>
              <w:spacing w:line="360" w:lineRule="auto"/>
              <w:jc w:val="both"/>
              <w:rPr>
                <w:rFonts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rPr>
              <w:t>分）</w:t>
            </w:r>
          </w:p>
        </w:tc>
        <w:tc>
          <w:tcPr>
            <w:tcW w:w="4293" w:type="pct"/>
            <w:gridSpan w:val="2"/>
            <w:tcBorders>
              <w:top w:val="single" w:color="auto" w:sz="4" w:space="0"/>
              <w:left w:val="single" w:color="auto" w:sz="4" w:space="0"/>
              <w:bottom w:val="single" w:color="auto" w:sz="4" w:space="0"/>
              <w:right w:val="single" w:color="auto" w:sz="4" w:space="0"/>
            </w:tcBorders>
            <w:vAlign w:val="center"/>
          </w:tcPr>
          <w:p w14:paraId="6FC5A878">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80" w:firstLineChars="200"/>
              <w:rPr>
                <w:rFonts w:hint="eastAsia" w:asciiTheme="minorEastAsia" w:hAnsiTheme="minorEastAsia" w:eastAsiaTheme="minorEastAsia" w:cstheme="minorEastAsia"/>
                <w:sz w:val="24"/>
                <w:szCs w:val="24"/>
                <w:highlight w:val="none"/>
              </w:rPr>
            </w:pPr>
            <w:permStart w:id="3" w:edGrp="everyone"/>
            <w:permEnd w:id="3"/>
            <w:r>
              <w:rPr>
                <w:rFonts w:hint="eastAsia" w:asciiTheme="minorEastAsia" w:hAnsiTheme="minorEastAsia" w:eastAsiaTheme="minorEastAsia" w:cstheme="minorEastAsia"/>
                <w:sz w:val="24"/>
                <w:szCs w:val="24"/>
                <w:highlight w:val="none"/>
              </w:rPr>
              <w:t>价格分统一采用低价优先法，即满足磋商文件要求且价格最低的最后报价为评标基准价，其价格分为满分</w:t>
            </w:r>
            <w:r>
              <w:rPr>
                <w:rFonts w:hint="eastAsia" w:asciiTheme="minorEastAsia" w:hAnsiTheme="minorEastAsia" w:eastAsiaTheme="minorEastAsia" w:cstheme="minorEastAsia"/>
                <w:sz w:val="24"/>
                <w:szCs w:val="24"/>
                <w:highlight w:val="none"/>
                <w:lang w:val="en-US" w:eastAsia="zh-CN"/>
              </w:rPr>
              <w:t xml:space="preserve"> 10 </w:t>
            </w:r>
            <w:r>
              <w:rPr>
                <w:rFonts w:hint="eastAsia" w:asciiTheme="minorEastAsia" w:hAnsiTheme="minorEastAsia" w:eastAsiaTheme="minorEastAsia" w:cstheme="minorEastAsia"/>
                <w:sz w:val="24"/>
                <w:szCs w:val="24"/>
                <w:highlight w:val="none"/>
              </w:rPr>
              <w:t>分。其他供应商的价格分统一按照下列公式计算：</w:t>
            </w:r>
          </w:p>
          <w:p w14:paraId="4650BE15">
            <w:pPr>
              <w:spacing w:line="360" w:lineRule="auto"/>
              <w:jc w:val="left"/>
              <w:rPr>
                <w:rFonts w:hint="eastAsia"/>
                <w:highlight w:val="none"/>
                <w:lang w:val="en-US" w:eastAsia="zh-CN"/>
              </w:rPr>
            </w:pPr>
            <w:r>
              <w:rPr>
                <w:rFonts w:hint="eastAsia" w:asciiTheme="minorEastAsia" w:hAnsiTheme="minorEastAsia" w:eastAsiaTheme="minorEastAsia" w:cstheme="minorEastAsia"/>
                <w:sz w:val="24"/>
                <w:szCs w:val="24"/>
                <w:highlight w:val="none"/>
              </w:rPr>
              <w:t>最后报价得分＝（评标基准价/最后报价）×</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％×100</w:t>
            </w:r>
          </w:p>
        </w:tc>
      </w:tr>
    </w:tbl>
    <w:p w14:paraId="097B71C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.3分值汇总</w:t>
      </w:r>
    </w:p>
    <w:p w14:paraId="10FA5F68">
      <w:pPr>
        <w:widowControl/>
        <w:tabs>
          <w:tab w:val="left" w:pos="1615"/>
        </w:tabs>
        <w:autoSpaceDE w:val="0"/>
        <w:autoSpaceDN w:val="0"/>
        <w:spacing w:line="360" w:lineRule="auto"/>
        <w:ind w:firstLine="480" w:firstLineChars="200"/>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（1）磋商小组各成员应当独立对每个有效响应的文件进行评价、打分，然后汇总每个供应商每项评分因素的得分，再取各位评委评分之平均值，四舍五入保留至小数点后两位数，得到该供应商的技术资信分。</w:t>
      </w:r>
    </w:p>
    <w:p w14:paraId="48EC3B54">
      <w:pPr>
        <w:widowControl/>
        <w:tabs>
          <w:tab w:val="left" w:pos="1615"/>
        </w:tabs>
        <w:autoSpaceDE w:val="0"/>
        <w:autoSpaceDN w:val="0"/>
        <w:spacing w:line="360" w:lineRule="auto"/>
        <w:ind w:firstLine="480" w:firstLineChars="200"/>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（2）将每个供应商的技术资信分加上根据上述标准计算出的价格分， 即为该供应商的综合总得分。</w:t>
      </w:r>
    </w:p>
    <w:p w14:paraId="646E9491">
      <w:pPr>
        <w:widowControl/>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14:paraId="197BC977">
      <w:pPr>
        <w:widowControl/>
        <w:spacing w:line="360" w:lineRule="auto"/>
        <w:jc w:val="center"/>
        <w:outlineLvl w:val="0"/>
        <w:rPr>
          <w:rStyle w:val="27"/>
          <w:rFonts w:ascii="宋体" w:hAnsi="宋体" w:eastAsia="宋体" w:cs="宋体"/>
          <w:color w:val="auto"/>
          <w:highlight w:val="none"/>
        </w:rPr>
      </w:pPr>
      <w:bookmarkStart w:id="169" w:name="_Toc11679"/>
      <w:bookmarkStart w:id="170" w:name="_Toc7082"/>
      <w:bookmarkStart w:id="171" w:name="_Toc5626"/>
      <w:bookmarkStart w:id="172" w:name="_Toc26888"/>
      <w:bookmarkStart w:id="173" w:name="_Toc16280"/>
      <w:bookmarkStart w:id="174" w:name="_Toc31616"/>
      <w:bookmarkStart w:id="175" w:name="_Toc63440921"/>
      <w:bookmarkStart w:id="176" w:name="_Toc13220"/>
      <w:bookmarkStart w:id="177" w:name="_Toc32240"/>
      <w:bookmarkStart w:id="178" w:name="_Toc12976"/>
      <w:bookmarkStart w:id="179" w:name="_Toc14232"/>
      <w:r>
        <w:rPr>
          <w:rStyle w:val="27"/>
          <w:rFonts w:hint="eastAsia" w:ascii="宋体" w:hAnsi="宋体" w:eastAsia="宋体" w:cs="宋体"/>
          <w:color w:val="auto"/>
          <w:highlight w:val="none"/>
        </w:rPr>
        <w:t>第五章  政府采购合同</w:t>
      </w:r>
      <w:bookmarkEnd w:id="169"/>
      <w:bookmarkEnd w:id="170"/>
      <w:bookmarkEnd w:id="171"/>
      <w:bookmarkEnd w:id="172"/>
      <w:bookmarkEnd w:id="173"/>
      <w:bookmarkEnd w:id="174"/>
      <w:bookmarkEnd w:id="175"/>
      <w:bookmarkEnd w:id="176"/>
      <w:bookmarkEnd w:id="177"/>
      <w:bookmarkEnd w:id="178"/>
      <w:bookmarkEnd w:id="179"/>
    </w:p>
    <w:p w14:paraId="73A7870E">
      <w:pPr>
        <w:spacing w:line="360" w:lineRule="auto"/>
        <w:jc w:val="center"/>
        <w:rPr>
          <w:rFonts w:ascii="宋体" w:hAnsi="宋体" w:eastAsia="宋体" w:cs="宋体"/>
          <w:b/>
          <w:color w:val="auto"/>
          <w:sz w:val="24"/>
          <w:highlight w:val="none"/>
        </w:rPr>
      </w:pPr>
    </w:p>
    <w:p w14:paraId="2B67631B">
      <w:pPr>
        <w:spacing w:line="360" w:lineRule="auto"/>
        <w:jc w:val="center"/>
        <w:rPr>
          <w:rFonts w:ascii="宋体" w:hAnsi="宋体" w:eastAsia="宋体" w:cs="宋体"/>
          <w:b/>
          <w:color w:val="auto"/>
          <w:sz w:val="24"/>
          <w:highlight w:val="none"/>
        </w:rPr>
      </w:pPr>
    </w:p>
    <w:p w14:paraId="5FD557BD">
      <w:pPr>
        <w:spacing w:line="360" w:lineRule="auto"/>
        <w:jc w:val="center"/>
        <w:rPr>
          <w:rFonts w:ascii="宋体" w:hAnsi="宋体" w:eastAsia="宋体" w:cs="宋体"/>
          <w:b/>
          <w:color w:val="auto"/>
          <w:sz w:val="24"/>
          <w:highlight w:val="none"/>
        </w:rPr>
      </w:pPr>
    </w:p>
    <w:p w14:paraId="7F4AB764">
      <w:pPr>
        <w:spacing w:line="360" w:lineRule="auto"/>
        <w:jc w:val="center"/>
        <w:rPr>
          <w:rFonts w:ascii="宋体" w:hAnsi="宋体" w:eastAsia="宋体" w:cs="宋体"/>
          <w:b/>
          <w:color w:val="auto"/>
          <w:sz w:val="32"/>
          <w:szCs w:val="32"/>
          <w:highlight w:val="none"/>
        </w:rPr>
      </w:pPr>
      <w:bookmarkStart w:id="180" w:name="_Toc8004"/>
      <w:r>
        <w:rPr>
          <w:rFonts w:hint="eastAsia" w:ascii="宋体" w:hAnsi="宋体" w:eastAsia="宋体" w:cs="宋体"/>
          <w:b/>
          <w:color w:val="auto"/>
          <w:sz w:val="32"/>
          <w:szCs w:val="32"/>
          <w:highlight w:val="none"/>
        </w:rPr>
        <w:t>政府采购合同参考范本</w:t>
      </w:r>
      <w:bookmarkEnd w:id="180"/>
    </w:p>
    <w:p w14:paraId="33F7F62B">
      <w:pPr>
        <w:spacing w:line="360" w:lineRule="auto"/>
        <w:jc w:val="center"/>
        <w:rPr>
          <w:rFonts w:ascii="宋体" w:hAnsi="宋体" w:eastAsia="宋体" w:cs="宋体"/>
          <w:b/>
          <w:color w:val="auto"/>
          <w:sz w:val="32"/>
          <w:szCs w:val="32"/>
          <w:highlight w:val="none"/>
        </w:rPr>
      </w:pPr>
      <w:bookmarkStart w:id="181" w:name="_Toc8837"/>
      <w:r>
        <w:rPr>
          <w:rFonts w:hint="eastAsia" w:ascii="宋体" w:hAnsi="宋体" w:eastAsia="宋体" w:cs="宋体"/>
          <w:b/>
          <w:color w:val="auto"/>
          <w:sz w:val="32"/>
          <w:szCs w:val="32"/>
          <w:highlight w:val="none"/>
        </w:rPr>
        <w:t>（服务类）</w:t>
      </w:r>
      <w:bookmarkEnd w:id="181"/>
    </w:p>
    <w:p w14:paraId="32AD0BBA">
      <w:pPr>
        <w:spacing w:line="360" w:lineRule="auto"/>
        <w:jc w:val="center"/>
        <w:rPr>
          <w:rFonts w:ascii="宋体" w:hAnsi="宋体" w:eastAsia="宋体" w:cs="宋体"/>
          <w:b/>
          <w:color w:val="auto"/>
          <w:sz w:val="24"/>
          <w:highlight w:val="none"/>
        </w:rPr>
      </w:pPr>
    </w:p>
    <w:p w14:paraId="0D77ED9A">
      <w:pPr>
        <w:spacing w:line="360" w:lineRule="auto"/>
        <w:jc w:val="center"/>
        <w:rPr>
          <w:rFonts w:ascii="宋体" w:hAnsi="宋体" w:eastAsia="宋体" w:cs="宋体"/>
          <w:b/>
          <w:color w:val="auto"/>
          <w:sz w:val="24"/>
          <w:highlight w:val="none"/>
        </w:rPr>
      </w:pPr>
    </w:p>
    <w:p w14:paraId="3547AB3C">
      <w:pPr>
        <w:spacing w:line="360" w:lineRule="auto"/>
        <w:jc w:val="center"/>
        <w:rPr>
          <w:rFonts w:ascii="宋体" w:hAnsi="宋体" w:eastAsia="宋体" w:cs="宋体"/>
          <w:b/>
          <w:color w:val="auto"/>
          <w:sz w:val="24"/>
          <w:highlight w:val="none"/>
        </w:rPr>
      </w:pPr>
    </w:p>
    <w:p w14:paraId="7A08D9EB">
      <w:pPr>
        <w:spacing w:line="360" w:lineRule="auto"/>
        <w:jc w:val="center"/>
        <w:outlineLvl w:val="1"/>
        <w:rPr>
          <w:rFonts w:ascii="宋体" w:hAnsi="宋体" w:eastAsia="宋体" w:cs="宋体"/>
          <w:b/>
          <w:color w:val="auto"/>
          <w:sz w:val="24"/>
          <w:highlight w:val="none"/>
        </w:rPr>
      </w:pPr>
      <w:bookmarkStart w:id="182" w:name="_Toc28260"/>
      <w:bookmarkStart w:id="183" w:name="_Toc330"/>
      <w:r>
        <w:rPr>
          <w:rFonts w:hint="eastAsia" w:ascii="宋体" w:hAnsi="宋体" w:eastAsia="宋体" w:cs="宋体"/>
          <w:b/>
          <w:color w:val="auto"/>
          <w:sz w:val="24"/>
          <w:highlight w:val="none"/>
        </w:rPr>
        <w:t>第一部分 合同书</w:t>
      </w:r>
      <w:bookmarkEnd w:id="182"/>
      <w:bookmarkEnd w:id="183"/>
    </w:p>
    <w:p w14:paraId="6945DFFD">
      <w:pPr>
        <w:spacing w:line="360" w:lineRule="auto"/>
        <w:jc w:val="center"/>
        <w:rPr>
          <w:rFonts w:ascii="宋体" w:hAnsi="宋体" w:eastAsia="宋体" w:cs="宋体"/>
          <w:b/>
          <w:color w:val="auto"/>
          <w:sz w:val="24"/>
          <w:highlight w:val="none"/>
        </w:rPr>
      </w:pPr>
    </w:p>
    <w:p w14:paraId="32E25D84">
      <w:pPr>
        <w:spacing w:line="360" w:lineRule="auto"/>
        <w:jc w:val="center"/>
        <w:rPr>
          <w:rFonts w:ascii="宋体" w:hAnsi="宋体" w:eastAsia="宋体" w:cs="宋体"/>
          <w:b/>
          <w:color w:val="auto"/>
          <w:sz w:val="24"/>
          <w:highlight w:val="none"/>
        </w:rPr>
      </w:pPr>
    </w:p>
    <w:p w14:paraId="5AF0ECD3">
      <w:pPr>
        <w:spacing w:line="360" w:lineRule="auto"/>
        <w:jc w:val="center"/>
        <w:rPr>
          <w:rFonts w:ascii="宋体" w:hAnsi="宋体" w:eastAsia="宋体" w:cs="宋体"/>
          <w:b/>
          <w:color w:val="auto"/>
          <w:sz w:val="24"/>
          <w:highlight w:val="none"/>
        </w:rPr>
      </w:pPr>
    </w:p>
    <w:p w14:paraId="3C323DB9">
      <w:pPr>
        <w:spacing w:line="480" w:lineRule="auto"/>
        <w:ind w:firstLine="960" w:firstLineChars="400"/>
        <w:rPr>
          <w:rFonts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44D9526E">
      <w:pPr>
        <w:spacing w:line="480" w:lineRule="auto"/>
        <w:ind w:firstLine="960" w:firstLineChars="400"/>
        <w:rPr>
          <w:rFonts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1600E938">
      <w:pPr>
        <w:spacing w:line="480" w:lineRule="auto"/>
        <w:ind w:firstLine="960" w:firstLineChars="400"/>
        <w:rPr>
          <w:rFonts w:ascii="宋体" w:hAnsi="宋体" w:eastAsia="宋体" w:cs="宋体"/>
          <w:color w:val="auto"/>
          <w:sz w:val="24"/>
          <w:highlight w:val="none"/>
          <w:u w:val="single"/>
        </w:rPr>
      </w:pPr>
      <w:r>
        <w:rPr>
          <w:rFonts w:hint="eastAsia" w:ascii="宋体" w:hAnsi="宋体" w:eastAsia="宋体" w:cs="宋体"/>
          <w:color w:val="auto"/>
          <w:sz w:val="24"/>
          <w:highlight w:val="none"/>
        </w:rPr>
        <w:t>甲方（采购人）：</w:t>
      </w:r>
      <w:r>
        <w:rPr>
          <w:rFonts w:hint="eastAsia" w:ascii="宋体" w:hAnsi="宋体" w:eastAsia="宋体" w:cs="宋体"/>
          <w:color w:val="auto"/>
          <w:sz w:val="24"/>
          <w:highlight w:val="none"/>
          <w:u w:val="single"/>
        </w:rPr>
        <w:t xml:space="preserve">                              </w:t>
      </w:r>
    </w:p>
    <w:p w14:paraId="64A79C18">
      <w:pPr>
        <w:spacing w:line="480" w:lineRule="auto"/>
        <w:ind w:firstLine="960" w:firstLineChars="400"/>
        <w:rPr>
          <w:rFonts w:ascii="宋体" w:hAnsi="宋体" w:eastAsia="宋体" w:cs="宋体"/>
          <w:color w:val="auto"/>
          <w:sz w:val="24"/>
          <w:highlight w:val="none"/>
          <w:u w:val="single"/>
        </w:rPr>
      </w:pPr>
      <w:r>
        <w:rPr>
          <w:rFonts w:hint="eastAsia" w:ascii="宋体" w:hAnsi="宋体" w:eastAsia="宋体" w:cs="宋体"/>
          <w:color w:val="auto"/>
          <w:sz w:val="24"/>
          <w:highlight w:val="none"/>
        </w:rPr>
        <w:t>乙方（成交供应商）：</w:t>
      </w:r>
      <w:r>
        <w:rPr>
          <w:rFonts w:hint="eastAsia" w:ascii="宋体" w:hAnsi="宋体" w:eastAsia="宋体" w:cs="宋体"/>
          <w:color w:val="auto"/>
          <w:sz w:val="24"/>
          <w:highlight w:val="none"/>
          <w:u w:val="single"/>
        </w:rPr>
        <w:t xml:space="preserve">                              </w:t>
      </w:r>
    </w:p>
    <w:p w14:paraId="720E24CC">
      <w:pPr>
        <w:spacing w:line="480" w:lineRule="auto"/>
        <w:ind w:firstLine="960" w:firstLineChars="400"/>
        <w:rPr>
          <w:rFonts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14:paraId="678FD23E">
      <w:pPr>
        <w:spacing w:line="480" w:lineRule="auto"/>
        <w:ind w:firstLine="960" w:firstLineChars="400"/>
        <w:rPr>
          <w:rFonts w:ascii="宋体" w:hAnsi="宋体" w:eastAsia="宋体" w:cs="宋体"/>
          <w:color w:val="auto"/>
          <w:sz w:val="24"/>
          <w:highlight w:val="non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24E26E4">
      <w:pPr>
        <w:widowControl/>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14:paraId="773027E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u w:val="single"/>
        </w:rPr>
        <w:t>某采购单位</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以下简称：甲方</w:t>
      </w:r>
      <w:r>
        <w:rPr>
          <w:rFonts w:hint="eastAsia" w:ascii="宋体" w:hAnsi="宋体" w:eastAsia="宋体" w:cs="宋体"/>
          <w:color w:val="auto"/>
          <w:sz w:val="24"/>
          <w:highlight w:val="none"/>
        </w:rPr>
        <w:t>）通过</w:t>
      </w:r>
      <w:r>
        <w:rPr>
          <w:rFonts w:hint="eastAsia" w:ascii="宋体" w:hAnsi="宋体" w:eastAsia="宋体" w:cs="宋体"/>
          <w:color w:val="auto"/>
          <w:sz w:val="24"/>
          <w:highlight w:val="none"/>
          <w:u w:val="single"/>
        </w:rPr>
        <w:t xml:space="preserve">某代理机构 </w:t>
      </w:r>
      <w:r>
        <w:rPr>
          <w:rFonts w:hint="eastAsia" w:ascii="宋体" w:hAnsi="宋体" w:eastAsia="宋体" w:cs="宋体"/>
          <w:color w:val="auto"/>
          <w:sz w:val="24"/>
          <w:highlight w:val="none"/>
        </w:rPr>
        <w:t>组织的</w:t>
      </w:r>
      <w:r>
        <w:rPr>
          <w:rFonts w:hint="eastAsia" w:ascii="宋体" w:hAnsi="宋体" w:eastAsia="宋体" w:cs="宋体"/>
          <w:color w:val="auto"/>
          <w:sz w:val="24"/>
          <w:highlight w:val="none"/>
          <w:u w:val="single"/>
        </w:rPr>
        <w:t>竞争性磋商</w:t>
      </w:r>
      <w:r>
        <w:rPr>
          <w:rFonts w:hint="eastAsia" w:ascii="宋体" w:hAnsi="宋体" w:eastAsia="宋体" w:cs="宋体"/>
          <w:color w:val="auto"/>
          <w:sz w:val="24"/>
          <w:highlight w:val="none"/>
        </w:rPr>
        <w:t>方式采购活动，经</w:t>
      </w:r>
      <w:r>
        <w:rPr>
          <w:rFonts w:hint="eastAsia" w:ascii="宋体" w:hAnsi="宋体" w:eastAsia="宋体" w:cs="宋体"/>
          <w:color w:val="auto"/>
          <w:sz w:val="24"/>
          <w:highlight w:val="none"/>
          <w:u w:val="single"/>
        </w:rPr>
        <w:t>磋商小组</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成交人名称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以下简称：乙方</w:t>
      </w:r>
      <w:r>
        <w:rPr>
          <w:rFonts w:hint="eastAsia" w:ascii="宋体" w:hAnsi="宋体" w:eastAsia="宋体" w:cs="宋体"/>
          <w:color w:val="auto"/>
          <w:sz w:val="24"/>
          <w:highlight w:val="none"/>
        </w:rPr>
        <w:t>）为本项目成交供应商，现按照采购文件确定的事项签订本合同。</w:t>
      </w:r>
    </w:p>
    <w:p w14:paraId="016ED0CE">
      <w:pPr>
        <w:spacing w:line="360" w:lineRule="auto"/>
        <w:ind w:firstLine="435"/>
        <w:rPr>
          <w:rFonts w:ascii="宋体" w:hAnsi="宋体" w:eastAsia="宋体" w:cs="宋体"/>
          <w:color w:val="auto"/>
          <w:sz w:val="24"/>
          <w:highlight w:val="none"/>
          <w:lang w:val="zh-CN"/>
        </w:rPr>
      </w:pPr>
      <w:r>
        <w:rPr>
          <w:rFonts w:hint="eastAsia" w:ascii="宋体" w:hAnsi="宋体" w:eastAsia="宋体" w:cs="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54930DFE">
      <w:pPr>
        <w:spacing w:line="360" w:lineRule="auto"/>
        <w:ind w:firstLine="437"/>
        <w:outlineLvl w:val="2"/>
        <w:rPr>
          <w:rFonts w:ascii="宋体" w:hAnsi="宋体" w:eastAsia="宋体" w:cs="宋体"/>
          <w:b/>
          <w:bCs/>
          <w:color w:val="auto"/>
          <w:sz w:val="24"/>
          <w:highlight w:val="none"/>
          <w:lang w:val="zh-CN"/>
        </w:rPr>
      </w:pPr>
      <w:bookmarkStart w:id="184" w:name="_Toc3029"/>
      <w:bookmarkStart w:id="185" w:name="_Toc2232"/>
      <w:bookmarkStart w:id="186" w:name="_Toc24059"/>
      <w:bookmarkStart w:id="187" w:name="_Toc28958"/>
      <w:r>
        <w:rPr>
          <w:rFonts w:hint="eastAsia" w:ascii="宋体" w:hAnsi="宋体" w:eastAsia="宋体" w:cs="宋体"/>
          <w:b/>
          <w:bCs/>
          <w:color w:val="auto"/>
          <w:sz w:val="24"/>
          <w:highlight w:val="none"/>
          <w:lang w:val="zh-CN"/>
        </w:rPr>
        <w:t>1.1 合同组成部分</w:t>
      </w:r>
      <w:bookmarkEnd w:id="184"/>
      <w:bookmarkEnd w:id="185"/>
      <w:bookmarkEnd w:id="186"/>
      <w:bookmarkEnd w:id="187"/>
    </w:p>
    <w:p w14:paraId="5B9DEBD7">
      <w:pPr>
        <w:spacing w:line="360" w:lineRule="auto"/>
        <w:ind w:firstLine="435"/>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51A498BB">
      <w:pPr>
        <w:spacing w:line="360" w:lineRule="auto"/>
        <w:ind w:firstLine="435"/>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1.1.1本合同及其补充合同、变更协议；</w:t>
      </w:r>
    </w:p>
    <w:p w14:paraId="2CAC793A">
      <w:pPr>
        <w:spacing w:line="360" w:lineRule="auto"/>
        <w:ind w:firstLine="435"/>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1.1.2成交通知书；</w:t>
      </w:r>
    </w:p>
    <w:p w14:paraId="2208569A">
      <w:pPr>
        <w:spacing w:line="360" w:lineRule="auto"/>
        <w:ind w:firstLine="435"/>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1.1.3响应文件（含澄清或者说明文件）；</w:t>
      </w:r>
    </w:p>
    <w:p w14:paraId="1BAA20A0">
      <w:pPr>
        <w:spacing w:line="360" w:lineRule="auto"/>
        <w:ind w:firstLine="435"/>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1.1.4磋商文件（含澄清或者修改文件）；</w:t>
      </w:r>
    </w:p>
    <w:p w14:paraId="1B1CF829">
      <w:pPr>
        <w:spacing w:line="360" w:lineRule="auto"/>
        <w:ind w:firstLine="435"/>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1.1.5其他相关采购文件。</w:t>
      </w:r>
    </w:p>
    <w:p w14:paraId="0E2A564C">
      <w:pPr>
        <w:spacing w:line="360" w:lineRule="auto"/>
        <w:ind w:firstLine="437"/>
        <w:outlineLvl w:val="2"/>
        <w:rPr>
          <w:rFonts w:ascii="宋体" w:hAnsi="宋体" w:eastAsia="宋体" w:cs="宋体"/>
          <w:b/>
          <w:bCs/>
          <w:color w:val="auto"/>
          <w:sz w:val="24"/>
          <w:highlight w:val="none"/>
          <w:lang w:val="zh-CN"/>
        </w:rPr>
      </w:pPr>
      <w:bookmarkStart w:id="188" w:name="_Toc18585"/>
      <w:bookmarkStart w:id="189" w:name="_Toc6773"/>
      <w:bookmarkStart w:id="190" w:name="_Toc22185"/>
      <w:bookmarkStart w:id="191" w:name="_Toc2918"/>
      <w:bookmarkStart w:id="192" w:name="_Toc6311"/>
      <w:bookmarkStart w:id="193" w:name="_Toc893"/>
      <w:r>
        <w:rPr>
          <w:rFonts w:hint="eastAsia" w:ascii="宋体" w:hAnsi="宋体" w:eastAsia="宋体" w:cs="宋体"/>
          <w:b/>
          <w:bCs/>
          <w:color w:val="auto"/>
          <w:sz w:val="24"/>
          <w:highlight w:val="none"/>
          <w:lang w:val="zh-CN"/>
        </w:rPr>
        <w:t xml:space="preserve">1.2 </w:t>
      </w:r>
      <w:bookmarkEnd w:id="188"/>
      <w:bookmarkEnd w:id="189"/>
      <w:bookmarkEnd w:id="190"/>
      <w:bookmarkEnd w:id="191"/>
      <w:bookmarkEnd w:id="192"/>
      <w:r>
        <w:rPr>
          <w:rFonts w:hint="eastAsia" w:ascii="宋体" w:hAnsi="宋体" w:eastAsia="宋体" w:cs="宋体"/>
          <w:b/>
          <w:bCs/>
          <w:color w:val="auto"/>
          <w:sz w:val="24"/>
          <w:highlight w:val="none"/>
          <w:lang w:val="zh-CN"/>
        </w:rPr>
        <w:t>服务</w:t>
      </w:r>
      <w:bookmarkEnd w:id="193"/>
    </w:p>
    <w:p w14:paraId="1D26FFC5">
      <w:pPr>
        <w:spacing w:line="360" w:lineRule="auto"/>
        <w:ind w:firstLine="435"/>
        <w:rPr>
          <w:rFonts w:ascii="宋体" w:hAnsi="宋体" w:eastAsia="宋体" w:cs="宋体"/>
          <w:color w:val="auto"/>
          <w:sz w:val="24"/>
          <w:highlight w:val="none"/>
          <w:u w:val="single"/>
        </w:rPr>
      </w:pPr>
      <w:r>
        <w:rPr>
          <w:rFonts w:hint="eastAsia" w:ascii="宋体" w:hAnsi="宋体" w:eastAsia="宋体" w:cs="宋体"/>
          <w:color w:val="auto"/>
          <w:sz w:val="24"/>
          <w:highlight w:val="none"/>
        </w:rPr>
        <w:t>1.2.1服务名称：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14083D4">
      <w:pPr>
        <w:spacing w:line="360" w:lineRule="auto"/>
        <w:ind w:firstLine="435"/>
        <w:rPr>
          <w:rFonts w:ascii="宋体" w:hAnsi="宋体" w:eastAsia="宋体" w:cs="宋体"/>
          <w:color w:val="auto"/>
          <w:sz w:val="24"/>
          <w:highlight w:val="none"/>
          <w:u w:val="single"/>
        </w:rPr>
      </w:pPr>
      <w:r>
        <w:rPr>
          <w:rFonts w:hint="eastAsia" w:ascii="宋体" w:hAnsi="宋体" w:eastAsia="宋体" w:cs="宋体"/>
          <w:color w:val="auto"/>
          <w:sz w:val="24"/>
          <w:highlight w:val="none"/>
        </w:rPr>
        <w:t>1.2.2服务内容：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6607CF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1.2.3服务质量：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39062CB">
      <w:pPr>
        <w:spacing w:line="360" w:lineRule="auto"/>
        <w:ind w:firstLine="437"/>
        <w:outlineLvl w:val="2"/>
        <w:rPr>
          <w:rFonts w:ascii="宋体" w:hAnsi="宋体" w:eastAsia="宋体" w:cs="宋体"/>
          <w:b/>
          <w:bCs/>
          <w:color w:val="auto"/>
          <w:sz w:val="24"/>
          <w:highlight w:val="none"/>
          <w:lang w:val="zh-CN"/>
        </w:rPr>
      </w:pPr>
      <w:bookmarkStart w:id="194" w:name="_Toc23292"/>
      <w:bookmarkStart w:id="195" w:name="_Toc21631"/>
      <w:bookmarkStart w:id="196" w:name="_Toc21551"/>
      <w:bookmarkStart w:id="197" w:name="_Toc13826"/>
      <w:r>
        <w:rPr>
          <w:rFonts w:hint="eastAsia" w:ascii="宋体" w:hAnsi="宋体" w:eastAsia="宋体" w:cs="宋体"/>
          <w:b/>
          <w:bCs/>
          <w:color w:val="auto"/>
          <w:sz w:val="24"/>
          <w:highlight w:val="none"/>
          <w:lang w:val="zh-CN"/>
        </w:rPr>
        <w:t>1.3 价款</w:t>
      </w:r>
      <w:bookmarkEnd w:id="194"/>
      <w:bookmarkEnd w:id="195"/>
      <w:bookmarkEnd w:id="196"/>
      <w:bookmarkEnd w:id="197"/>
    </w:p>
    <w:p w14:paraId="1F93252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本合同总价为：￥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10F1D7C0">
      <w:pPr>
        <w:spacing w:line="360" w:lineRule="auto"/>
        <w:ind w:firstLine="435"/>
        <w:rPr>
          <w:rFonts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23"/>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4650"/>
        <w:gridCol w:w="3484"/>
      </w:tblGrid>
      <w:tr w14:paraId="4025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1" w:type="pct"/>
            <w:vAlign w:val="center"/>
          </w:tcPr>
          <w:p w14:paraId="1180A619">
            <w:pPr>
              <w:spacing w:line="360" w:lineRule="auto"/>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序号</w:t>
            </w:r>
          </w:p>
        </w:tc>
        <w:tc>
          <w:tcPr>
            <w:tcW w:w="2536" w:type="pct"/>
            <w:vAlign w:val="center"/>
          </w:tcPr>
          <w:p w14:paraId="3BAE41C5">
            <w:pPr>
              <w:pStyle w:val="30"/>
              <w:spacing w:line="360" w:lineRule="auto"/>
              <w:ind w:firstLine="2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1901" w:type="pct"/>
            <w:vAlign w:val="center"/>
          </w:tcPr>
          <w:p w14:paraId="7FB9E02B">
            <w:pPr>
              <w:pStyle w:val="3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0AA4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1" w:type="pct"/>
          </w:tcPr>
          <w:p w14:paraId="71D52508">
            <w:pPr>
              <w:spacing w:line="360" w:lineRule="auto"/>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1</w:t>
            </w:r>
          </w:p>
        </w:tc>
        <w:tc>
          <w:tcPr>
            <w:tcW w:w="2536" w:type="pct"/>
            <w:vAlign w:val="center"/>
          </w:tcPr>
          <w:p w14:paraId="158D7AEC">
            <w:pPr>
              <w:pStyle w:val="30"/>
              <w:spacing w:line="360" w:lineRule="auto"/>
              <w:ind w:firstLine="200"/>
              <w:jc w:val="center"/>
              <w:rPr>
                <w:rFonts w:ascii="宋体" w:hAnsi="宋体" w:eastAsia="宋体" w:cs="宋体"/>
                <w:color w:val="auto"/>
                <w:sz w:val="24"/>
                <w:szCs w:val="24"/>
                <w:highlight w:val="none"/>
              </w:rPr>
            </w:pPr>
          </w:p>
        </w:tc>
        <w:tc>
          <w:tcPr>
            <w:tcW w:w="1901" w:type="pct"/>
            <w:vAlign w:val="center"/>
          </w:tcPr>
          <w:p w14:paraId="70949945">
            <w:pPr>
              <w:pStyle w:val="30"/>
              <w:spacing w:line="360" w:lineRule="auto"/>
              <w:ind w:firstLine="200"/>
              <w:jc w:val="center"/>
              <w:rPr>
                <w:rFonts w:ascii="宋体" w:hAnsi="宋体" w:eastAsia="宋体" w:cs="宋体"/>
                <w:color w:val="auto"/>
                <w:sz w:val="24"/>
                <w:szCs w:val="24"/>
                <w:highlight w:val="none"/>
              </w:rPr>
            </w:pPr>
          </w:p>
        </w:tc>
      </w:tr>
      <w:tr w14:paraId="036D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1" w:type="pct"/>
          </w:tcPr>
          <w:p w14:paraId="157C1964">
            <w:pPr>
              <w:spacing w:line="360" w:lineRule="auto"/>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2</w:t>
            </w:r>
          </w:p>
        </w:tc>
        <w:tc>
          <w:tcPr>
            <w:tcW w:w="2536" w:type="pct"/>
            <w:vAlign w:val="center"/>
          </w:tcPr>
          <w:p w14:paraId="3507F9BA">
            <w:pPr>
              <w:pStyle w:val="30"/>
              <w:spacing w:line="360" w:lineRule="auto"/>
              <w:ind w:firstLine="200"/>
              <w:jc w:val="center"/>
              <w:rPr>
                <w:rFonts w:ascii="宋体" w:hAnsi="宋体" w:eastAsia="宋体" w:cs="宋体"/>
                <w:color w:val="auto"/>
                <w:sz w:val="24"/>
                <w:szCs w:val="24"/>
                <w:highlight w:val="none"/>
              </w:rPr>
            </w:pPr>
          </w:p>
        </w:tc>
        <w:tc>
          <w:tcPr>
            <w:tcW w:w="1901" w:type="pct"/>
            <w:vAlign w:val="center"/>
          </w:tcPr>
          <w:p w14:paraId="000197B3">
            <w:pPr>
              <w:pStyle w:val="30"/>
              <w:spacing w:line="360" w:lineRule="auto"/>
              <w:ind w:firstLine="200"/>
              <w:jc w:val="center"/>
              <w:rPr>
                <w:rFonts w:ascii="宋体" w:hAnsi="宋体" w:eastAsia="宋体" w:cs="宋体"/>
                <w:color w:val="auto"/>
                <w:sz w:val="24"/>
                <w:szCs w:val="24"/>
                <w:highlight w:val="none"/>
              </w:rPr>
            </w:pPr>
          </w:p>
        </w:tc>
      </w:tr>
      <w:tr w14:paraId="6FAE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1" w:type="pct"/>
          </w:tcPr>
          <w:p w14:paraId="68164146">
            <w:pPr>
              <w:spacing w:line="360" w:lineRule="auto"/>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3</w:t>
            </w:r>
          </w:p>
        </w:tc>
        <w:tc>
          <w:tcPr>
            <w:tcW w:w="2536" w:type="pct"/>
            <w:vAlign w:val="center"/>
          </w:tcPr>
          <w:p w14:paraId="5D2D9904">
            <w:pPr>
              <w:pStyle w:val="30"/>
              <w:spacing w:line="360" w:lineRule="auto"/>
              <w:ind w:firstLine="200"/>
              <w:jc w:val="center"/>
              <w:rPr>
                <w:rFonts w:ascii="宋体" w:hAnsi="宋体" w:eastAsia="宋体" w:cs="宋体"/>
                <w:color w:val="auto"/>
                <w:sz w:val="24"/>
                <w:szCs w:val="24"/>
                <w:highlight w:val="none"/>
              </w:rPr>
            </w:pPr>
          </w:p>
        </w:tc>
        <w:tc>
          <w:tcPr>
            <w:tcW w:w="1901" w:type="pct"/>
            <w:vAlign w:val="center"/>
          </w:tcPr>
          <w:p w14:paraId="0B5E417C">
            <w:pPr>
              <w:pStyle w:val="30"/>
              <w:spacing w:line="360" w:lineRule="auto"/>
              <w:ind w:firstLine="200"/>
              <w:jc w:val="center"/>
              <w:rPr>
                <w:rFonts w:ascii="宋体" w:hAnsi="宋体" w:eastAsia="宋体" w:cs="宋体"/>
                <w:color w:val="auto"/>
                <w:sz w:val="24"/>
                <w:szCs w:val="24"/>
                <w:highlight w:val="none"/>
              </w:rPr>
            </w:pPr>
          </w:p>
        </w:tc>
      </w:tr>
      <w:tr w14:paraId="7DC0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1" w:type="pct"/>
          </w:tcPr>
          <w:p w14:paraId="2D32F18E">
            <w:pPr>
              <w:spacing w:line="360" w:lineRule="auto"/>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p>
        </w:tc>
        <w:tc>
          <w:tcPr>
            <w:tcW w:w="2536" w:type="pct"/>
            <w:vAlign w:val="center"/>
          </w:tcPr>
          <w:p w14:paraId="424454BA">
            <w:pPr>
              <w:pStyle w:val="30"/>
              <w:spacing w:line="360" w:lineRule="auto"/>
              <w:ind w:firstLine="200"/>
              <w:jc w:val="center"/>
              <w:rPr>
                <w:rFonts w:ascii="宋体" w:hAnsi="宋体" w:eastAsia="宋体" w:cs="宋体"/>
                <w:color w:val="auto"/>
                <w:sz w:val="24"/>
                <w:szCs w:val="24"/>
                <w:highlight w:val="none"/>
              </w:rPr>
            </w:pPr>
          </w:p>
        </w:tc>
        <w:tc>
          <w:tcPr>
            <w:tcW w:w="1901" w:type="pct"/>
            <w:vAlign w:val="center"/>
          </w:tcPr>
          <w:p w14:paraId="5209AC44">
            <w:pPr>
              <w:pStyle w:val="30"/>
              <w:spacing w:line="360" w:lineRule="auto"/>
              <w:ind w:firstLine="200"/>
              <w:jc w:val="center"/>
              <w:rPr>
                <w:rFonts w:ascii="宋体" w:hAnsi="宋体" w:eastAsia="宋体" w:cs="宋体"/>
                <w:color w:val="auto"/>
                <w:sz w:val="24"/>
                <w:szCs w:val="24"/>
                <w:highlight w:val="none"/>
              </w:rPr>
            </w:pPr>
          </w:p>
        </w:tc>
      </w:tr>
      <w:tr w14:paraId="76A6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098" w:type="pct"/>
            <w:gridSpan w:val="2"/>
          </w:tcPr>
          <w:p w14:paraId="1396E8AD">
            <w:pPr>
              <w:pStyle w:val="30"/>
              <w:spacing w:line="360" w:lineRule="auto"/>
              <w:ind w:firstLine="2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901" w:type="pct"/>
            <w:vAlign w:val="center"/>
          </w:tcPr>
          <w:p w14:paraId="5E76C269">
            <w:pPr>
              <w:pStyle w:val="30"/>
              <w:spacing w:line="360" w:lineRule="auto"/>
              <w:ind w:firstLine="200"/>
              <w:jc w:val="center"/>
              <w:rPr>
                <w:rFonts w:ascii="宋体" w:hAnsi="宋体" w:eastAsia="宋体" w:cs="宋体"/>
                <w:color w:val="auto"/>
                <w:sz w:val="24"/>
                <w:szCs w:val="24"/>
                <w:highlight w:val="none"/>
              </w:rPr>
            </w:pPr>
          </w:p>
        </w:tc>
      </w:tr>
    </w:tbl>
    <w:p w14:paraId="39D77EDD">
      <w:pPr>
        <w:spacing w:line="360" w:lineRule="auto"/>
        <w:ind w:firstLine="437"/>
        <w:outlineLvl w:val="2"/>
        <w:rPr>
          <w:rFonts w:ascii="宋体" w:hAnsi="宋体" w:eastAsia="宋体" w:cs="宋体"/>
          <w:b/>
          <w:bCs/>
          <w:color w:val="auto"/>
          <w:sz w:val="24"/>
          <w:highlight w:val="none"/>
          <w:lang w:val="zh-CN"/>
        </w:rPr>
      </w:pPr>
      <w:bookmarkStart w:id="198" w:name="_Toc1814"/>
      <w:bookmarkStart w:id="199" w:name="_Toc29693"/>
      <w:bookmarkStart w:id="200" w:name="_Toc10340"/>
      <w:bookmarkStart w:id="201" w:name="_Toc22618"/>
      <w:r>
        <w:rPr>
          <w:rFonts w:hint="eastAsia" w:ascii="宋体" w:hAnsi="宋体" w:eastAsia="宋体" w:cs="宋体"/>
          <w:b/>
          <w:bCs/>
          <w:color w:val="auto"/>
          <w:sz w:val="24"/>
          <w:highlight w:val="none"/>
          <w:lang w:val="zh-CN"/>
        </w:rPr>
        <w:t>1.4 付款方式和发票开具方式</w:t>
      </w:r>
      <w:bookmarkEnd w:id="198"/>
      <w:bookmarkEnd w:id="199"/>
      <w:bookmarkEnd w:id="200"/>
      <w:bookmarkEnd w:id="201"/>
    </w:p>
    <w:p w14:paraId="5EFADC6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1.4.1付款方式：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E382E1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1.4.2发票开具方式：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65E04BB">
      <w:pPr>
        <w:spacing w:line="360" w:lineRule="auto"/>
        <w:ind w:firstLine="437"/>
        <w:outlineLvl w:val="2"/>
        <w:rPr>
          <w:rFonts w:ascii="宋体" w:hAnsi="宋体" w:eastAsia="宋体" w:cs="宋体"/>
          <w:b/>
          <w:bCs/>
          <w:color w:val="auto"/>
          <w:sz w:val="24"/>
          <w:highlight w:val="none"/>
          <w:lang w:val="zh-CN"/>
        </w:rPr>
      </w:pPr>
      <w:bookmarkStart w:id="202" w:name="_Toc2846"/>
      <w:bookmarkStart w:id="203" w:name="_Toc16924"/>
      <w:bookmarkStart w:id="204" w:name="_Toc19304"/>
      <w:bookmarkStart w:id="205" w:name="_Toc32071"/>
      <w:r>
        <w:rPr>
          <w:rFonts w:hint="eastAsia" w:ascii="宋体" w:hAnsi="宋体" w:eastAsia="宋体" w:cs="宋体"/>
          <w:b/>
          <w:bCs/>
          <w:color w:val="auto"/>
          <w:sz w:val="24"/>
          <w:highlight w:val="none"/>
          <w:lang w:val="zh-CN"/>
        </w:rPr>
        <w:t>1.5 服务期限、地点和方式</w:t>
      </w:r>
      <w:bookmarkEnd w:id="202"/>
      <w:bookmarkEnd w:id="203"/>
      <w:bookmarkEnd w:id="204"/>
      <w:bookmarkEnd w:id="205"/>
    </w:p>
    <w:p w14:paraId="1CB8DC44">
      <w:pPr>
        <w:spacing w:line="360" w:lineRule="auto"/>
        <w:ind w:firstLine="435"/>
        <w:rPr>
          <w:rFonts w:ascii="宋体" w:hAnsi="宋体" w:eastAsia="宋体" w:cs="宋体"/>
          <w:color w:val="auto"/>
          <w:sz w:val="24"/>
          <w:highlight w:val="none"/>
          <w:u w:val="single"/>
        </w:rPr>
      </w:pPr>
      <w:r>
        <w:rPr>
          <w:rFonts w:hint="eastAsia" w:ascii="宋体" w:hAnsi="宋体" w:eastAsia="宋体" w:cs="宋体"/>
          <w:color w:val="auto"/>
          <w:sz w:val="24"/>
          <w:highlight w:val="none"/>
        </w:rPr>
        <w:t>1.5.1服务期限：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BB05F3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1.5.2服务地点：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E1F51D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1.5.3服务方式：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D1F01D9">
      <w:pPr>
        <w:spacing w:line="360" w:lineRule="auto"/>
        <w:ind w:firstLine="437"/>
        <w:outlineLvl w:val="2"/>
        <w:rPr>
          <w:rFonts w:ascii="宋体" w:hAnsi="宋体" w:eastAsia="宋体" w:cs="宋体"/>
          <w:b/>
          <w:bCs/>
          <w:color w:val="auto"/>
          <w:sz w:val="24"/>
          <w:highlight w:val="none"/>
          <w:lang w:val="zh-CN"/>
        </w:rPr>
      </w:pPr>
      <w:bookmarkStart w:id="206" w:name="_Toc27250"/>
      <w:bookmarkStart w:id="207" w:name="_Toc25979"/>
      <w:bookmarkStart w:id="208" w:name="_Toc19554"/>
      <w:bookmarkStart w:id="209" w:name="_Toc21423"/>
      <w:r>
        <w:rPr>
          <w:rFonts w:hint="eastAsia" w:ascii="宋体" w:hAnsi="宋体" w:eastAsia="宋体" w:cs="宋体"/>
          <w:b/>
          <w:bCs/>
          <w:color w:val="auto"/>
          <w:sz w:val="24"/>
          <w:highlight w:val="none"/>
          <w:lang w:val="zh-CN"/>
        </w:rPr>
        <w:t>1.6 违约责任</w:t>
      </w:r>
      <w:bookmarkEnd w:id="206"/>
      <w:bookmarkEnd w:id="207"/>
      <w:bookmarkEnd w:id="208"/>
      <w:bookmarkEnd w:id="209"/>
    </w:p>
    <w:p w14:paraId="3C58541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0.1</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%；迟延履行的违约金计算数额达到前述最高限额之日起，甲方有权在要求乙方支付违约金的同时，书面通知乙方解除本合同；</w:t>
      </w:r>
    </w:p>
    <w:p w14:paraId="2498CA0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5F3DCC6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271F33D">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D08DC5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938A53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1.6.6如果出现政府采购监督管理部门在处理投诉事项期间，书面通知甲方暂停采购活动的情形，或者询问或质疑事项可能影响成交结果的，导致甲方中止履行合同的情形，均不视为甲方违约。</w:t>
      </w:r>
    </w:p>
    <w:p w14:paraId="05CF85F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1.6.7因甲方未按合同约定支付价款、未按合同约定受领标的物、擅自解除合同</w:t>
      </w:r>
      <w:r>
        <w:rPr>
          <w:rFonts w:hint="eastAsia" w:ascii="宋体" w:hAnsi="宋体" w:eastAsia="宋体" w:cs="宋体"/>
          <w:color w:val="auto"/>
          <w:sz w:val="24"/>
          <w:szCs w:val="24"/>
          <w:highlight w:val="none"/>
        </w:rPr>
        <w:t>、逾期退还履约保证金</w:t>
      </w:r>
      <w:r>
        <w:rPr>
          <w:rFonts w:hint="eastAsia" w:ascii="宋体" w:hAnsi="宋体" w:eastAsia="宋体" w:cs="宋体"/>
          <w:color w:val="auto"/>
          <w:sz w:val="24"/>
          <w:highlight w:val="none"/>
        </w:rPr>
        <w:t>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692ED15">
      <w:pPr>
        <w:spacing w:line="360" w:lineRule="auto"/>
        <w:ind w:firstLine="437"/>
        <w:outlineLvl w:val="2"/>
        <w:rPr>
          <w:rFonts w:ascii="宋体" w:hAnsi="宋体" w:eastAsia="宋体" w:cs="宋体"/>
          <w:b/>
          <w:bCs/>
          <w:color w:val="auto"/>
          <w:sz w:val="24"/>
          <w:highlight w:val="none"/>
          <w:lang w:val="zh-CN"/>
        </w:rPr>
      </w:pPr>
      <w:bookmarkStart w:id="210" w:name="_Toc8279"/>
      <w:r>
        <w:rPr>
          <w:rFonts w:hint="eastAsia" w:ascii="宋体" w:hAnsi="宋体" w:eastAsia="宋体" w:cs="宋体"/>
          <w:b/>
          <w:bCs/>
          <w:color w:val="auto"/>
          <w:sz w:val="24"/>
          <w:highlight w:val="none"/>
          <w:lang w:val="zh-CN"/>
        </w:rPr>
        <w:t>1.7 合同争议的解决</w:t>
      </w:r>
      <w:bookmarkEnd w:id="210"/>
    </w:p>
    <w:p w14:paraId="78A58D2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1.7.2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551DDD6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1.7.1将争议提交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界首市</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仲裁委员会依申请仲裁时其现行有效的仲裁规则裁决；</w:t>
      </w:r>
    </w:p>
    <w:p w14:paraId="42AEFC7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1.7.2向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界首市</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人民法院起诉。</w:t>
      </w:r>
    </w:p>
    <w:p w14:paraId="588520E3">
      <w:pPr>
        <w:spacing w:line="360" w:lineRule="auto"/>
        <w:ind w:firstLine="437"/>
        <w:outlineLvl w:val="2"/>
        <w:rPr>
          <w:rFonts w:ascii="宋体" w:hAnsi="宋体" w:eastAsia="宋体" w:cs="宋体"/>
          <w:b/>
          <w:bCs/>
          <w:color w:val="auto"/>
          <w:sz w:val="24"/>
          <w:highlight w:val="none"/>
          <w:lang w:val="zh-CN"/>
        </w:rPr>
      </w:pPr>
      <w:bookmarkStart w:id="211" w:name="_Toc7245"/>
      <w:bookmarkStart w:id="212" w:name="_Toc22095"/>
      <w:bookmarkStart w:id="213" w:name="_Toc11173"/>
      <w:bookmarkStart w:id="214" w:name="_Toc15322"/>
      <w:r>
        <w:rPr>
          <w:rFonts w:hint="eastAsia" w:ascii="宋体" w:hAnsi="宋体" w:eastAsia="宋体" w:cs="宋体"/>
          <w:b/>
          <w:bCs/>
          <w:color w:val="auto"/>
          <w:sz w:val="24"/>
          <w:highlight w:val="none"/>
          <w:lang w:val="zh-CN"/>
        </w:rPr>
        <w:t>1.8 合同生效</w:t>
      </w:r>
      <w:bookmarkEnd w:id="211"/>
      <w:bookmarkEnd w:id="212"/>
      <w:bookmarkEnd w:id="213"/>
      <w:bookmarkEnd w:id="214"/>
    </w:p>
    <w:p w14:paraId="2A92987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本合同自双方当事人盖章时生效。</w:t>
      </w:r>
    </w:p>
    <w:p w14:paraId="2D6A1AF4">
      <w:pPr>
        <w:autoSpaceDE w:val="0"/>
        <w:autoSpaceDN w:val="0"/>
        <w:adjustRightInd w:val="0"/>
        <w:spacing w:line="360" w:lineRule="auto"/>
        <w:rPr>
          <w:rFonts w:ascii="宋体" w:hAnsi="宋体" w:eastAsia="宋体" w:cs="宋体"/>
          <w:color w:val="auto"/>
          <w:sz w:val="24"/>
          <w:highlight w:val="none"/>
          <w:lang w:val="zh-CN"/>
        </w:rPr>
      </w:pPr>
    </w:p>
    <w:p w14:paraId="2492F8F9">
      <w:pPr>
        <w:autoSpaceDE w:val="0"/>
        <w:autoSpaceDN w:val="0"/>
        <w:adjustRightInd w:val="0"/>
        <w:spacing w:line="360" w:lineRule="auto"/>
        <w:rPr>
          <w:rFonts w:ascii="宋体" w:hAnsi="宋体" w:eastAsia="宋体" w:cs="宋体"/>
          <w:color w:val="auto"/>
          <w:sz w:val="24"/>
          <w:highlight w:val="none"/>
          <w:lang w:val="zh-CN"/>
        </w:rPr>
      </w:pPr>
    </w:p>
    <w:p w14:paraId="6183114D">
      <w:pPr>
        <w:autoSpaceDE w:val="0"/>
        <w:autoSpaceDN w:val="0"/>
        <w:adjustRightInd w:val="0"/>
        <w:spacing w:line="360" w:lineRule="auto"/>
        <w:rPr>
          <w:rFonts w:ascii="宋体" w:hAnsi="宋体" w:eastAsia="宋体" w:cs="宋体"/>
          <w:color w:val="auto"/>
          <w:sz w:val="24"/>
          <w:highlight w:val="none"/>
          <w:lang w:val="zh-CN"/>
        </w:rPr>
      </w:pPr>
    </w:p>
    <w:p w14:paraId="74AACDE2">
      <w:pPr>
        <w:autoSpaceDE w:val="0"/>
        <w:autoSpaceDN w:val="0"/>
        <w:adjustRightInd w:val="0"/>
        <w:spacing w:line="360" w:lineRule="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甲    方：</w:t>
      </w:r>
      <w:r>
        <w:rPr>
          <w:rFonts w:hint="eastAsia" w:ascii="宋体" w:hAnsi="宋体" w:eastAsia="宋体" w:cs="宋体"/>
          <w:bCs/>
          <w:color w:val="auto"/>
          <w:sz w:val="24"/>
          <w:szCs w:val="24"/>
          <w:highlight w:val="none"/>
          <w:u w:val="single"/>
          <w:lang w:val="zh-CN"/>
        </w:rPr>
        <w:t xml:space="preserve">    （单位盖章）     </w:t>
      </w:r>
      <w:r>
        <w:rPr>
          <w:rFonts w:hint="eastAsia" w:ascii="宋体" w:hAnsi="宋体" w:eastAsia="宋体" w:cs="宋体"/>
          <w:bCs/>
          <w:color w:val="auto"/>
          <w:sz w:val="24"/>
          <w:szCs w:val="24"/>
          <w:highlight w:val="none"/>
          <w:lang w:val="zh-CN"/>
        </w:rPr>
        <w:t xml:space="preserve">          乙方：</w:t>
      </w:r>
      <w:r>
        <w:rPr>
          <w:rFonts w:hint="eastAsia" w:ascii="宋体" w:hAnsi="宋体" w:eastAsia="宋体" w:cs="宋体"/>
          <w:bCs/>
          <w:color w:val="auto"/>
          <w:sz w:val="24"/>
          <w:szCs w:val="24"/>
          <w:highlight w:val="none"/>
          <w:u w:val="single"/>
          <w:lang w:val="zh-CN"/>
        </w:rPr>
        <w:t xml:space="preserve">    （单位盖章）     </w:t>
      </w:r>
    </w:p>
    <w:p w14:paraId="2F69EFA8">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                               法定代表人</w:t>
      </w:r>
    </w:p>
    <w:p w14:paraId="01781C13">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或授权代表（签字）：                      或授权代表（签字）：</w:t>
      </w:r>
    </w:p>
    <w:p w14:paraId="00C9EBA9">
      <w:pPr>
        <w:widowControl/>
        <w:spacing w:line="360" w:lineRule="auto"/>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702ABFCA">
      <w:pPr>
        <w:widowControl/>
        <w:spacing w:line="360" w:lineRule="auto"/>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乙方账户信息</w:t>
      </w:r>
    </w:p>
    <w:p w14:paraId="5275E2AD">
      <w:pPr>
        <w:widowControl/>
        <w:spacing w:line="360" w:lineRule="auto"/>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户名：</w:t>
      </w:r>
      <w:r>
        <w:rPr>
          <w:rFonts w:hint="eastAsia" w:ascii="宋体" w:hAnsi="宋体" w:eastAsia="宋体" w:cs="宋体"/>
          <w:bCs/>
          <w:color w:val="auto"/>
          <w:sz w:val="24"/>
          <w:szCs w:val="24"/>
          <w:highlight w:val="none"/>
          <w:u w:val="single"/>
        </w:rPr>
        <w:t xml:space="preserve">                    </w:t>
      </w:r>
    </w:p>
    <w:p w14:paraId="66A2223A">
      <w:pPr>
        <w:widowControl/>
        <w:spacing w:line="360" w:lineRule="auto"/>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账号：</w:t>
      </w:r>
      <w:r>
        <w:rPr>
          <w:rFonts w:hint="eastAsia" w:ascii="宋体" w:hAnsi="宋体" w:eastAsia="宋体" w:cs="宋体"/>
          <w:bCs/>
          <w:color w:val="auto"/>
          <w:sz w:val="24"/>
          <w:szCs w:val="24"/>
          <w:highlight w:val="none"/>
          <w:u w:val="single"/>
        </w:rPr>
        <w:t xml:space="preserve">                    </w:t>
      </w:r>
    </w:p>
    <w:p w14:paraId="5D14265E">
      <w:pPr>
        <w:widowControl/>
        <w:spacing w:line="360" w:lineRule="auto"/>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开户银行：</w:t>
      </w:r>
      <w:r>
        <w:rPr>
          <w:rFonts w:hint="eastAsia" w:ascii="宋体" w:hAnsi="宋体" w:eastAsia="宋体" w:cs="宋体"/>
          <w:bCs/>
          <w:color w:val="auto"/>
          <w:sz w:val="24"/>
          <w:szCs w:val="24"/>
          <w:highlight w:val="none"/>
          <w:u w:val="single"/>
        </w:rPr>
        <w:t xml:space="preserve">                </w:t>
      </w:r>
    </w:p>
    <w:p w14:paraId="24443119">
      <w:pPr>
        <w:widowControl/>
        <w:spacing w:line="360" w:lineRule="auto"/>
        <w:jc w:val="left"/>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452EED17">
      <w:pPr>
        <w:spacing w:line="360" w:lineRule="auto"/>
        <w:jc w:val="center"/>
        <w:outlineLvl w:val="1"/>
        <w:rPr>
          <w:rFonts w:ascii="宋体" w:hAnsi="宋体" w:eastAsia="宋体" w:cs="宋体"/>
          <w:b/>
          <w:color w:val="auto"/>
          <w:sz w:val="24"/>
          <w:highlight w:val="none"/>
        </w:rPr>
      </w:pPr>
      <w:bookmarkStart w:id="215" w:name="_Toc5263"/>
      <w:bookmarkStart w:id="216" w:name="_Toc16498"/>
      <w:r>
        <w:rPr>
          <w:rFonts w:hint="eastAsia" w:ascii="宋体" w:hAnsi="宋体" w:eastAsia="宋体" w:cs="宋体"/>
          <w:b/>
          <w:color w:val="auto"/>
          <w:sz w:val="24"/>
          <w:highlight w:val="none"/>
        </w:rPr>
        <w:t>第二部分 合同一般条款</w:t>
      </w:r>
      <w:bookmarkEnd w:id="215"/>
      <w:bookmarkEnd w:id="216"/>
    </w:p>
    <w:p w14:paraId="4AE255B0">
      <w:pPr>
        <w:spacing w:line="360" w:lineRule="auto"/>
        <w:ind w:firstLine="437"/>
        <w:outlineLvl w:val="2"/>
        <w:rPr>
          <w:rFonts w:ascii="宋体" w:hAnsi="宋体" w:eastAsia="宋体" w:cs="宋体"/>
          <w:b/>
          <w:bCs/>
          <w:color w:val="auto"/>
          <w:sz w:val="24"/>
          <w:highlight w:val="none"/>
          <w:lang w:val="zh-CN"/>
        </w:rPr>
      </w:pPr>
      <w:bookmarkStart w:id="217" w:name="_Ref467379101"/>
      <w:bookmarkStart w:id="218" w:name="_Toc28763"/>
      <w:bookmarkStart w:id="219" w:name="_Ref467378463"/>
      <w:bookmarkStart w:id="220" w:name="_Ref467378404"/>
      <w:bookmarkStart w:id="221" w:name="_Ref467379195"/>
      <w:bookmarkStart w:id="222" w:name="_Toc24279"/>
      <w:bookmarkStart w:id="223" w:name="_Toc487900349"/>
      <w:bookmarkStart w:id="224" w:name="_Ref467379214"/>
      <w:bookmarkStart w:id="225" w:name="_Ref467378499"/>
      <w:bookmarkStart w:id="226" w:name="_Ref467379109"/>
      <w:bookmarkStart w:id="227" w:name="_Toc16917"/>
      <w:bookmarkStart w:id="228" w:name="_Toc259093669"/>
      <w:bookmarkStart w:id="229" w:name="_Toc279701240"/>
      <w:bookmarkStart w:id="230" w:name="_Toc19614"/>
      <w:bookmarkStart w:id="231" w:name="_Ref467379205"/>
      <w:bookmarkStart w:id="232" w:name="_Ref467379225"/>
      <w:bookmarkStart w:id="233" w:name="_Ref467379094"/>
      <w:r>
        <w:rPr>
          <w:rFonts w:hint="eastAsia" w:ascii="宋体" w:hAnsi="宋体" w:eastAsia="宋体" w:cs="宋体"/>
          <w:b/>
          <w:bCs/>
          <w:color w:val="auto"/>
          <w:sz w:val="24"/>
          <w:highlight w:val="none"/>
          <w:lang w:val="zh-CN"/>
        </w:rPr>
        <w:t>2.1 定义</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4809C63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5BF079D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2.1.1“合同”系指采购人和成交供应商签订的载明双方当事人所达成的协议，并包括所有的附件、附录和构成合同的其他文件。</w:t>
      </w:r>
    </w:p>
    <w:p w14:paraId="586126D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2.1.2“合同价”系指根据合同约定，成交供应商在完全履行合同义务后，采购人应支付给成交供应商的价格。</w:t>
      </w:r>
    </w:p>
    <w:p w14:paraId="6B495BE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2.1.3“服务”系指成交供应商根据合同约定应向采购人履行的除货物和工程以外的其他政府采购对象，包括采购人自身需要的服务和向社会公众提供的公共服务。</w:t>
      </w:r>
    </w:p>
    <w:p w14:paraId="11DCF493">
      <w:pPr>
        <w:spacing w:line="360" w:lineRule="auto"/>
        <w:ind w:firstLine="435"/>
        <w:rPr>
          <w:rFonts w:ascii="宋体" w:hAnsi="宋体" w:eastAsia="宋体" w:cs="宋体"/>
          <w:color w:val="auto"/>
          <w:sz w:val="24"/>
          <w:highlight w:val="none"/>
        </w:rPr>
      </w:pPr>
      <w:bookmarkStart w:id="234" w:name="_Ref467378840"/>
      <w:r>
        <w:rPr>
          <w:rFonts w:hint="eastAsia" w:ascii="宋体" w:hAnsi="宋体" w:eastAsia="宋体" w:cs="宋体"/>
          <w:color w:val="auto"/>
          <w:sz w:val="24"/>
          <w:highlight w:val="none"/>
        </w:rPr>
        <w:t>2.1.4“甲方”系指与成交供应商签署合同的采购人</w:t>
      </w:r>
      <w:bookmarkEnd w:id="234"/>
      <w:r>
        <w:rPr>
          <w:rFonts w:hint="eastAsia" w:ascii="宋体" w:hAnsi="宋体" w:eastAsia="宋体" w:cs="宋体"/>
          <w:color w:val="auto"/>
          <w:sz w:val="24"/>
          <w:highlight w:val="none"/>
        </w:rPr>
        <w:t>；采购人委托采购代理机构代表其与乙方签订合同的，采购人的授权委托书作为合同附件。</w:t>
      </w:r>
    </w:p>
    <w:p w14:paraId="7A933B36">
      <w:pPr>
        <w:spacing w:line="360" w:lineRule="auto"/>
        <w:ind w:firstLine="435"/>
        <w:rPr>
          <w:rFonts w:ascii="宋体" w:hAnsi="宋体" w:eastAsia="宋体" w:cs="宋体"/>
          <w:color w:val="auto"/>
          <w:sz w:val="24"/>
          <w:highlight w:val="none"/>
        </w:rPr>
      </w:pPr>
      <w:bookmarkStart w:id="235" w:name="_Ref467379400"/>
      <w:r>
        <w:rPr>
          <w:rFonts w:hint="eastAsia" w:ascii="宋体" w:hAnsi="宋体" w:eastAsia="宋体" w:cs="宋体"/>
          <w:color w:val="auto"/>
          <w:sz w:val="24"/>
          <w:highlight w:val="none"/>
        </w:rPr>
        <w:t>2.1.5“乙方”系指根据合同约定提供服务的成交供应商</w:t>
      </w:r>
      <w:bookmarkEnd w:id="235"/>
      <w:r>
        <w:rPr>
          <w:rFonts w:hint="eastAsia" w:ascii="宋体" w:hAnsi="宋体" w:eastAsia="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D2DDFEE">
      <w:pPr>
        <w:spacing w:line="360" w:lineRule="auto"/>
        <w:ind w:firstLine="435"/>
        <w:rPr>
          <w:rFonts w:ascii="宋体" w:hAnsi="宋体" w:eastAsia="宋体" w:cs="宋体"/>
          <w:color w:val="auto"/>
          <w:sz w:val="24"/>
          <w:highlight w:val="none"/>
        </w:rPr>
      </w:pPr>
      <w:bookmarkStart w:id="236" w:name="_Ref467379436"/>
      <w:r>
        <w:rPr>
          <w:rFonts w:hint="eastAsia" w:ascii="宋体" w:hAnsi="宋体" w:eastAsia="宋体" w:cs="宋体"/>
          <w:color w:val="auto"/>
          <w:sz w:val="24"/>
          <w:highlight w:val="none"/>
        </w:rPr>
        <w:t>2.1.6“现场”系指合同约定提供服务的地点。</w:t>
      </w:r>
      <w:bookmarkEnd w:id="236"/>
    </w:p>
    <w:p w14:paraId="63B21886">
      <w:pPr>
        <w:spacing w:line="360" w:lineRule="auto"/>
        <w:ind w:firstLine="437"/>
        <w:outlineLvl w:val="2"/>
        <w:rPr>
          <w:rFonts w:ascii="宋体" w:hAnsi="宋体" w:eastAsia="宋体" w:cs="宋体"/>
          <w:b/>
          <w:bCs/>
          <w:color w:val="auto"/>
          <w:sz w:val="24"/>
          <w:highlight w:val="none"/>
          <w:lang w:val="zh-CN"/>
        </w:rPr>
      </w:pPr>
      <w:bookmarkStart w:id="237" w:name="_Toc13336"/>
      <w:bookmarkStart w:id="238" w:name="_Toc259093670"/>
      <w:bookmarkStart w:id="239" w:name="_Toc279701241"/>
      <w:bookmarkStart w:id="240" w:name="_Toc10863"/>
      <w:bookmarkStart w:id="241" w:name="_Toc487900350"/>
      <w:bookmarkStart w:id="242" w:name="_Toc27635"/>
      <w:bookmarkStart w:id="243" w:name="_Toc32504"/>
      <w:r>
        <w:rPr>
          <w:rFonts w:hint="eastAsia" w:ascii="宋体" w:hAnsi="宋体" w:eastAsia="宋体" w:cs="宋体"/>
          <w:b/>
          <w:bCs/>
          <w:color w:val="auto"/>
          <w:sz w:val="24"/>
          <w:highlight w:val="none"/>
          <w:lang w:val="zh-CN"/>
        </w:rPr>
        <w:t>2.2 技术规范</w:t>
      </w:r>
      <w:bookmarkEnd w:id="237"/>
      <w:bookmarkEnd w:id="238"/>
      <w:bookmarkEnd w:id="239"/>
      <w:bookmarkEnd w:id="240"/>
      <w:bookmarkEnd w:id="241"/>
      <w:bookmarkEnd w:id="242"/>
      <w:bookmarkEnd w:id="243"/>
    </w:p>
    <w:p w14:paraId="1AF032D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E9F2ACB">
      <w:pPr>
        <w:spacing w:line="360" w:lineRule="auto"/>
        <w:ind w:firstLine="437"/>
        <w:outlineLvl w:val="2"/>
        <w:rPr>
          <w:rFonts w:ascii="宋体" w:hAnsi="宋体" w:eastAsia="宋体" w:cs="宋体"/>
          <w:b/>
          <w:bCs/>
          <w:color w:val="auto"/>
          <w:sz w:val="24"/>
          <w:highlight w:val="none"/>
          <w:lang w:val="zh-CN"/>
        </w:rPr>
      </w:pPr>
      <w:bookmarkStart w:id="244" w:name="_Toc23488"/>
      <w:bookmarkStart w:id="245" w:name="_Toc279701242"/>
      <w:bookmarkStart w:id="246" w:name="_Toc31634"/>
      <w:bookmarkStart w:id="247" w:name="_Toc9829"/>
      <w:bookmarkStart w:id="248" w:name="_Toc487900351"/>
      <w:bookmarkStart w:id="249" w:name="_Toc27853"/>
      <w:bookmarkStart w:id="250" w:name="_Toc259093671"/>
      <w:r>
        <w:rPr>
          <w:rFonts w:hint="eastAsia" w:ascii="宋体" w:hAnsi="宋体" w:eastAsia="宋体" w:cs="宋体"/>
          <w:b/>
          <w:bCs/>
          <w:color w:val="auto"/>
          <w:sz w:val="24"/>
          <w:highlight w:val="none"/>
          <w:lang w:val="zh-CN"/>
        </w:rPr>
        <w:t>2.3 知识产权</w:t>
      </w:r>
      <w:bookmarkEnd w:id="244"/>
      <w:bookmarkEnd w:id="245"/>
      <w:bookmarkEnd w:id="246"/>
      <w:bookmarkEnd w:id="247"/>
      <w:bookmarkEnd w:id="248"/>
      <w:bookmarkEnd w:id="249"/>
      <w:bookmarkEnd w:id="250"/>
    </w:p>
    <w:p w14:paraId="0DC7038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6FCD47B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2F71454">
      <w:pPr>
        <w:spacing w:line="360" w:lineRule="auto"/>
        <w:ind w:firstLine="437"/>
        <w:outlineLvl w:val="2"/>
        <w:rPr>
          <w:rFonts w:ascii="宋体" w:hAnsi="宋体" w:eastAsia="宋体" w:cs="宋体"/>
          <w:b/>
          <w:bCs/>
          <w:color w:val="auto"/>
          <w:sz w:val="24"/>
          <w:highlight w:val="none"/>
          <w:lang w:val="zh-CN"/>
        </w:rPr>
      </w:pPr>
      <w:bookmarkStart w:id="251" w:name="_Ref467378541"/>
      <w:bookmarkStart w:id="252" w:name="_Toc279701245"/>
      <w:bookmarkStart w:id="253" w:name="_Ref467379536"/>
      <w:bookmarkStart w:id="254" w:name="_Ref467379542"/>
      <w:bookmarkStart w:id="255" w:name="_Ref467378591"/>
      <w:bookmarkStart w:id="256" w:name="_Toc487900354"/>
      <w:bookmarkStart w:id="257" w:name="_Ref467379527"/>
      <w:bookmarkStart w:id="258" w:name="_Toc259093674"/>
      <w:bookmarkStart w:id="259" w:name="_Toc30272"/>
      <w:bookmarkStart w:id="260" w:name="_Toc26182"/>
      <w:bookmarkStart w:id="261" w:name="_Toc12849"/>
      <w:bookmarkStart w:id="262" w:name="_Toc19074"/>
      <w:r>
        <w:rPr>
          <w:rFonts w:hint="eastAsia" w:ascii="宋体" w:hAnsi="宋体" w:eastAsia="宋体" w:cs="宋体"/>
          <w:b/>
          <w:bCs/>
          <w:color w:val="auto"/>
          <w:sz w:val="24"/>
          <w:highlight w:val="none"/>
          <w:lang w:val="zh-CN"/>
        </w:rPr>
        <w:t>2.</w:t>
      </w:r>
      <w:bookmarkEnd w:id="251"/>
      <w:bookmarkEnd w:id="252"/>
      <w:bookmarkEnd w:id="253"/>
      <w:bookmarkEnd w:id="254"/>
      <w:bookmarkEnd w:id="255"/>
      <w:bookmarkEnd w:id="256"/>
      <w:bookmarkEnd w:id="257"/>
      <w:bookmarkEnd w:id="258"/>
      <w:r>
        <w:rPr>
          <w:rFonts w:hint="eastAsia" w:ascii="宋体" w:hAnsi="宋体" w:eastAsia="宋体" w:cs="宋体"/>
          <w:b/>
          <w:bCs/>
          <w:color w:val="auto"/>
          <w:sz w:val="24"/>
          <w:highlight w:val="none"/>
          <w:lang w:val="zh-CN"/>
        </w:rPr>
        <w:t>4 履约检查和问题反馈</w:t>
      </w:r>
      <w:bookmarkEnd w:id="259"/>
      <w:bookmarkEnd w:id="260"/>
      <w:bookmarkEnd w:id="261"/>
      <w:bookmarkEnd w:id="262"/>
    </w:p>
    <w:p w14:paraId="507894A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10064D6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2.4.2合同履行期间，甲方有权将履行过程中出现的问题反馈给乙方，双方当事人应以书面形式约定需要完善和改进的内容。</w:t>
      </w:r>
    </w:p>
    <w:p w14:paraId="532CA91D">
      <w:pPr>
        <w:spacing w:line="360" w:lineRule="auto"/>
        <w:ind w:firstLine="437"/>
        <w:outlineLvl w:val="2"/>
        <w:rPr>
          <w:rFonts w:ascii="宋体" w:hAnsi="宋体" w:eastAsia="宋体" w:cs="宋体"/>
          <w:b/>
          <w:bCs/>
          <w:color w:val="auto"/>
          <w:sz w:val="24"/>
          <w:highlight w:val="none"/>
          <w:lang w:val="zh-CN"/>
        </w:rPr>
      </w:pPr>
      <w:bookmarkStart w:id="263" w:name="_Toc28451"/>
      <w:bookmarkStart w:id="264" w:name="_Toc19219"/>
      <w:bookmarkStart w:id="265" w:name="_Toc15271"/>
      <w:bookmarkStart w:id="266" w:name="_Toc7836"/>
      <w:r>
        <w:rPr>
          <w:rFonts w:hint="eastAsia" w:ascii="宋体" w:hAnsi="宋体" w:eastAsia="宋体" w:cs="宋体"/>
          <w:b/>
          <w:bCs/>
          <w:color w:val="auto"/>
          <w:sz w:val="24"/>
          <w:highlight w:val="none"/>
          <w:lang w:val="zh-CN"/>
        </w:rPr>
        <w:t>2.5 结算方式和付款条件</w:t>
      </w:r>
      <w:bookmarkEnd w:id="263"/>
      <w:bookmarkEnd w:id="264"/>
      <w:bookmarkEnd w:id="265"/>
      <w:bookmarkEnd w:id="266"/>
    </w:p>
    <w:p w14:paraId="595FAA0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37D821D5">
      <w:pPr>
        <w:spacing w:line="360" w:lineRule="auto"/>
        <w:ind w:firstLine="437"/>
        <w:outlineLvl w:val="2"/>
        <w:rPr>
          <w:rFonts w:ascii="宋体" w:hAnsi="宋体" w:eastAsia="宋体" w:cs="宋体"/>
          <w:b/>
          <w:bCs/>
          <w:color w:val="auto"/>
          <w:sz w:val="24"/>
          <w:highlight w:val="none"/>
          <w:lang w:val="zh-CN"/>
        </w:rPr>
      </w:pPr>
      <w:bookmarkStart w:id="267" w:name="_Ref467379863"/>
      <w:bookmarkStart w:id="268" w:name="_Ref467379852"/>
      <w:bookmarkStart w:id="269" w:name="_Toc259093677"/>
      <w:bookmarkStart w:id="270" w:name="_Toc487900358"/>
      <w:bookmarkStart w:id="271" w:name="_Toc279701248"/>
      <w:bookmarkStart w:id="272" w:name="_Ref467379923"/>
      <w:bookmarkStart w:id="273" w:name="_Toc21785"/>
      <w:bookmarkStart w:id="274" w:name="_Toc3225"/>
      <w:bookmarkStart w:id="275" w:name="_Toc16110"/>
      <w:bookmarkStart w:id="276" w:name="_Toc774"/>
      <w:r>
        <w:rPr>
          <w:rFonts w:hint="eastAsia" w:ascii="宋体" w:hAnsi="宋体" w:eastAsia="宋体" w:cs="宋体"/>
          <w:b/>
          <w:bCs/>
          <w:color w:val="auto"/>
          <w:sz w:val="24"/>
          <w:highlight w:val="none"/>
          <w:lang w:val="zh-CN"/>
        </w:rPr>
        <w:t>2.6 技术资料</w:t>
      </w:r>
      <w:bookmarkEnd w:id="267"/>
      <w:bookmarkEnd w:id="268"/>
      <w:bookmarkEnd w:id="269"/>
      <w:bookmarkEnd w:id="270"/>
      <w:bookmarkEnd w:id="271"/>
      <w:bookmarkEnd w:id="272"/>
      <w:r>
        <w:rPr>
          <w:rFonts w:hint="eastAsia" w:ascii="宋体" w:hAnsi="宋体" w:eastAsia="宋体" w:cs="宋体"/>
          <w:b/>
          <w:bCs/>
          <w:color w:val="auto"/>
          <w:sz w:val="24"/>
          <w:highlight w:val="none"/>
          <w:lang w:val="zh-CN"/>
        </w:rPr>
        <w:t>和保密义务</w:t>
      </w:r>
      <w:bookmarkEnd w:id="273"/>
      <w:bookmarkEnd w:id="274"/>
      <w:bookmarkEnd w:id="275"/>
      <w:bookmarkEnd w:id="276"/>
    </w:p>
    <w:p w14:paraId="1AFA6F7D">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2.6.1乙方有权依据合同约定和项目需要，向甲方了解有关情况，调阅有关资料等，甲方应予积极配合；</w:t>
      </w:r>
    </w:p>
    <w:p w14:paraId="3164BE4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2.6.2乙方有义务妥善保管和保护由甲方提供的前款信息和资料等；</w:t>
      </w:r>
    </w:p>
    <w:p w14:paraId="264E792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6DE663D">
      <w:pPr>
        <w:spacing w:line="360" w:lineRule="auto"/>
        <w:ind w:firstLine="437"/>
        <w:outlineLvl w:val="2"/>
        <w:rPr>
          <w:rFonts w:ascii="宋体" w:hAnsi="宋体" w:eastAsia="宋体" w:cs="宋体"/>
          <w:b/>
          <w:bCs/>
          <w:color w:val="auto"/>
          <w:sz w:val="24"/>
          <w:highlight w:val="none"/>
          <w:lang w:val="zh-CN"/>
        </w:rPr>
      </w:pPr>
      <w:bookmarkStart w:id="277" w:name="_Toc4789"/>
      <w:bookmarkStart w:id="278" w:name="_Toc7860"/>
      <w:r>
        <w:rPr>
          <w:rFonts w:hint="eastAsia" w:ascii="宋体" w:hAnsi="宋体" w:eastAsia="宋体" w:cs="宋体"/>
          <w:b/>
          <w:bCs/>
          <w:color w:val="auto"/>
          <w:sz w:val="24"/>
          <w:highlight w:val="none"/>
          <w:lang w:val="zh-CN"/>
        </w:rPr>
        <w:t>2.7 质量保证</w:t>
      </w:r>
      <w:bookmarkEnd w:id="277"/>
      <w:bookmarkEnd w:id="278"/>
    </w:p>
    <w:p w14:paraId="66A050D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2.7.1乙方应建立和完善履行合同的内部质量保证体系，并提供相关内部规章制度给甲方，以便甲方进行监督检查；</w:t>
      </w:r>
    </w:p>
    <w:p w14:paraId="5EA44D3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2.7.2乙方应保证履行合同的人员数量和素质、软件和硬件设备的配置、场地、环境和设施等满足全面履行合同的要求，并应接受甲方的监督检查。</w:t>
      </w:r>
    </w:p>
    <w:p w14:paraId="561B856A">
      <w:pPr>
        <w:spacing w:line="360" w:lineRule="auto"/>
        <w:ind w:firstLine="437"/>
        <w:outlineLvl w:val="2"/>
        <w:rPr>
          <w:rFonts w:ascii="宋体" w:hAnsi="宋体" w:eastAsia="宋体" w:cs="宋体"/>
          <w:b/>
          <w:color w:val="auto"/>
          <w:sz w:val="24"/>
          <w:highlight w:val="none"/>
        </w:rPr>
      </w:pPr>
      <w:bookmarkStart w:id="279" w:name="_Toc22267"/>
      <w:bookmarkStart w:id="280" w:name="_Toc31159"/>
      <w:r>
        <w:rPr>
          <w:rFonts w:hint="eastAsia" w:ascii="宋体" w:hAnsi="宋体" w:eastAsia="宋体" w:cs="宋体"/>
          <w:b/>
          <w:color w:val="auto"/>
          <w:sz w:val="24"/>
          <w:highlight w:val="none"/>
        </w:rPr>
        <w:t>2.8 延迟履行</w:t>
      </w:r>
      <w:bookmarkEnd w:id="279"/>
      <w:bookmarkEnd w:id="280"/>
    </w:p>
    <w:p w14:paraId="2C23003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0544E6E">
      <w:pPr>
        <w:spacing w:line="360" w:lineRule="auto"/>
        <w:ind w:firstLine="437"/>
        <w:outlineLvl w:val="2"/>
        <w:rPr>
          <w:rFonts w:ascii="宋体" w:hAnsi="宋体" w:eastAsia="宋体" w:cs="宋体"/>
          <w:b/>
          <w:bCs/>
          <w:color w:val="auto"/>
          <w:sz w:val="24"/>
          <w:highlight w:val="none"/>
          <w:lang w:val="zh-CN"/>
        </w:rPr>
      </w:pPr>
      <w:bookmarkStart w:id="281" w:name="_Toc7502"/>
      <w:bookmarkStart w:id="282" w:name="_Toc27682"/>
      <w:r>
        <w:rPr>
          <w:rFonts w:hint="eastAsia" w:ascii="宋体" w:hAnsi="宋体" w:eastAsia="宋体" w:cs="宋体"/>
          <w:b/>
          <w:bCs/>
          <w:color w:val="auto"/>
          <w:sz w:val="24"/>
          <w:highlight w:val="none"/>
          <w:lang w:val="zh-CN"/>
        </w:rPr>
        <w:t>2.9 合同变更</w:t>
      </w:r>
      <w:bookmarkEnd w:id="281"/>
      <w:bookmarkEnd w:id="282"/>
    </w:p>
    <w:p w14:paraId="21A6C69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2.9.1双方当事人协商一致，可以签订书面补充合同的形式变更合同，但不得违背采购文件确定的事项；</w:t>
      </w:r>
    </w:p>
    <w:p w14:paraId="632952D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2.9.2合同继续履行将损害国家利益和社会公共利益的，双方当事人应当以书面形式变更合同。有过错的一方应当承担赔偿责任，双方当事人都有过错的，各自承担相应的责任。</w:t>
      </w:r>
    </w:p>
    <w:p w14:paraId="73B7346E">
      <w:pPr>
        <w:spacing w:line="360" w:lineRule="auto"/>
        <w:ind w:firstLine="437"/>
        <w:outlineLvl w:val="2"/>
        <w:rPr>
          <w:rFonts w:ascii="宋体" w:hAnsi="宋体" w:eastAsia="宋体" w:cs="宋体"/>
          <w:b/>
          <w:bCs/>
          <w:color w:val="auto"/>
          <w:sz w:val="24"/>
          <w:highlight w:val="none"/>
          <w:lang w:val="zh-CN"/>
        </w:rPr>
      </w:pPr>
      <w:bookmarkStart w:id="283" w:name="_Toc18879"/>
      <w:bookmarkStart w:id="284" w:name="_Toc15237"/>
      <w:bookmarkStart w:id="285" w:name="_Toc10366"/>
      <w:bookmarkStart w:id="286" w:name="_Toc22955"/>
      <w:r>
        <w:rPr>
          <w:rFonts w:hint="eastAsia" w:ascii="宋体" w:hAnsi="宋体" w:eastAsia="宋体" w:cs="宋体"/>
          <w:b/>
          <w:bCs/>
          <w:color w:val="auto"/>
          <w:sz w:val="24"/>
          <w:highlight w:val="none"/>
          <w:lang w:val="zh-CN"/>
        </w:rPr>
        <w:t>2.10 合同转让和分包</w:t>
      </w:r>
      <w:bookmarkEnd w:id="283"/>
      <w:bookmarkEnd w:id="284"/>
      <w:bookmarkEnd w:id="285"/>
      <w:bookmarkEnd w:id="286"/>
    </w:p>
    <w:p w14:paraId="54E4708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1474791">
      <w:pPr>
        <w:spacing w:line="360" w:lineRule="auto"/>
        <w:ind w:firstLine="437"/>
        <w:outlineLvl w:val="2"/>
        <w:rPr>
          <w:rFonts w:ascii="宋体" w:hAnsi="宋体" w:eastAsia="宋体" w:cs="宋体"/>
          <w:b/>
          <w:bCs/>
          <w:color w:val="auto"/>
          <w:sz w:val="24"/>
          <w:highlight w:val="none"/>
          <w:lang w:val="zh-CN"/>
        </w:rPr>
      </w:pPr>
      <w:bookmarkStart w:id="287" w:name="_Toc13566"/>
      <w:bookmarkStart w:id="288" w:name="_Toc20672"/>
      <w:bookmarkStart w:id="289" w:name="_Toc16508"/>
      <w:bookmarkStart w:id="290" w:name="_Toc14066"/>
      <w:r>
        <w:rPr>
          <w:rFonts w:hint="eastAsia" w:ascii="宋体" w:hAnsi="宋体" w:eastAsia="宋体" w:cs="宋体"/>
          <w:b/>
          <w:bCs/>
          <w:color w:val="auto"/>
          <w:sz w:val="24"/>
          <w:highlight w:val="none"/>
          <w:lang w:val="zh-CN"/>
        </w:rPr>
        <w:t>2.11 不可抗力</w:t>
      </w:r>
      <w:bookmarkEnd w:id="287"/>
      <w:bookmarkEnd w:id="288"/>
      <w:bookmarkEnd w:id="289"/>
      <w:bookmarkEnd w:id="290"/>
    </w:p>
    <w:p w14:paraId="32B6A12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14:paraId="6373DBCD">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2.11.2因不可抗力致使不能实现合同目的的，当事人可以解除合同；</w:t>
      </w:r>
    </w:p>
    <w:p w14:paraId="003C8DE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2.11.3因不可抗力致使合同有变更必要的，双方当事人应在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3921657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6E32B199">
      <w:pPr>
        <w:spacing w:line="360" w:lineRule="auto"/>
        <w:ind w:firstLine="437"/>
        <w:outlineLvl w:val="2"/>
        <w:rPr>
          <w:rFonts w:ascii="宋体" w:hAnsi="宋体" w:eastAsia="宋体" w:cs="宋体"/>
          <w:b/>
          <w:bCs/>
          <w:color w:val="auto"/>
          <w:sz w:val="24"/>
          <w:highlight w:val="none"/>
          <w:lang w:val="zh-CN"/>
        </w:rPr>
      </w:pPr>
      <w:bookmarkStart w:id="291" w:name="_Toc6969"/>
      <w:bookmarkStart w:id="292" w:name="_Toc259093684"/>
      <w:bookmarkStart w:id="293" w:name="_Toc689"/>
      <w:bookmarkStart w:id="294" w:name="_Toc30676"/>
      <w:bookmarkStart w:id="295" w:name="_Toc24800"/>
      <w:bookmarkStart w:id="296" w:name="_Toc487900365"/>
      <w:bookmarkStart w:id="297" w:name="_Toc279701255"/>
      <w:r>
        <w:rPr>
          <w:rFonts w:hint="eastAsia" w:ascii="宋体" w:hAnsi="宋体" w:eastAsia="宋体" w:cs="宋体"/>
          <w:b/>
          <w:bCs/>
          <w:color w:val="auto"/>
          <w:sz w:val="24"/>
          <w:highlight w:val="none"/>
          <w:lang w:val="zh-CN"/>
        </w:rPr>
        <w:t>2.12 税费</w:t>
      </w:r>
      <w:bookmarkEnd w:id="291"/>
      <w:bookmarkEnd w:id="292"/>
      <w:bookmarkEnd w:id="293"/>
      <w:bookmarkEnd w:id="294"/>
      <w:bookmarkEnd w:id="295"/>
      <w:bookmarkEnd w:id="296"/>
      <w:bookmarkEnd w:id="297"/>
    </w:p>
    <w:p w14:paraId="275A203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14:paraId="4FEB3F15">
      <w:pPr>
        <w:spacing w:line="360" w:lineRule="auto"/>
        <w:ind w:firstLine="437"/>
        <w:outlineLvl w:val="2"/>
        <w:rPr>
          <w:rFonts w:ascii="宋体" w:hAnsi="宋体" w:eastAsia="宋体" w:cs="宋体"/>
          <w:b/>
          <w:bCs/>
          <w:color w:val="auto"/>
          <w:sz w:val="24"/>
          <w:highlight w:val="none"/>
          <w:lang w:val="zh-CN"/>
        </w:rPr>
      </w:pPr>
      <w:bookmarkStart w:id="298" w:name="_Toc16959"/>
      <w:bookmarkStart w:id="299" w:name="_Toc487900368"/>
      <w:bookmarkStart w:id="300" w:name="_Toc7102"/>
      <w:bookmarkStart w:id="301" w:name="_Toc259093687"/>
      <w:bookmarkStart w:id="302" w:name="_Toc29444"/>
      <w:bookmarkStart w:id="303" w:name="_Toc8298"/>
      <w:bookmarkStart w:id="304" w:name="_Toc279701258"/>
      <w:r>
        <w:rPr>
          <w:rFonts w:hint="eastAsia" w:ascii="宋体" w:hAnsi="宋体" w:eastAsia="宋体" w:cs="宋体"/>
          <w:b/>
          <w:bCs/>
          <w:color w:val="auto"/>
          <w:sz w:val="24"/>
          <w:highlight w:val="none"/>
          <w:lang w:val="zh-CN"/>
        </w:rPr>
        <w:t>2.13 乙方破产</w:t>
      </w:r>
      <w:bookmarkEnd w:id="298"/>
      <w:bookmarkEnd w:id="299"/>
      <w:bookmarkEnd w:id="300"/>
      <w:bookmarkEnd w:id="301"/>
      <w:bookmarkEnd w:id="302"/>
      <w:bookmarkEnd w:id="303"/>
      <w:bookmarkEnd w:id="304"/>
    </w:p>
    <w:p w14:paraId="170799C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9FBEC26">
      <w:pPr>
        <w:spacing w:line="360" w:lineRule="auto"/>
        <w:ind w:firstLine="437"/>
        <w:outlineLvl w:val="2"/>
        <w:rPr>
          <w:rFonts w:ascii="宋体" w:hAnsi="宋体" w:eastAsia="宋体" w:cs="宋体"/>
          <w:b/>
          <w:color w:val="auto"/>
          <w:sz w:val="24"/>
          <w:highlight w:val="none"/>
        </w:rPr>
      </w:pPr>
      <w:bookmarkStart w:id="305" w:name="_Toc15387"/>
      <w:bookmarkStart w:id="306" w:name="_Toc6134"/>
      <w:bookmarkStart w:id="307" w:name="_Toc7995"/>
      <w:bookmarkStart w:id="308" w:name="_Toc29333"/>
      <w:r>
        <w:rPr>
          <w:rFonts w:hint="eastAsia" w:ascii="宋体" w:hAnsi="宋体" w:eastAsia="宋体" w:cs="宋体"/>
          <w:b/>
          <w:bCs/>
          <w:color w:val="auto"/>
          <w:sz w:val="24"/>
          <w:highlight w:val="none"/>
          <w:lang w:val="zh-CN"/>
        </w:rPr>
        <w:t>2.14 合同中止、终止</w:t>
      </w:r>
      <w:bookmarkEnd w:id="305"/>
      <w:bookmarkEnd w:id="306"/>
      <w:bookmarkEnd w:id="307"/>
      <w:bookmarkEnd w:id="308"/>
    </w:p>
    <w:p w14:paraId="52747C9D">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2.14.1双方当事人不得擅自中止或者终止合同；</w:t>
      </w:r>
    </w:p>
    <w:p w14:paraId="22EA964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790A796A">
      <w:pPr>
        <w:spacing w:line="360" w:lineRule="auto"/>
        <w:ind w:firstLine="437"/>
        <w:outlineLvl w:val="2"/>
        <w:rPr>
          <w:rFonts w:ascii="宋体" w:hAnsi="宋体" w:eastAsia="宋体" w:cs="宋体"/>
          <w:b/>
          <w:bCs/>
          <w:color w:val="auto"/>
          <w:sz w:val="24"/>
          <w:highlight w:val="none"/>
          <w:lang w:val="zh-CN"/>
        </w:rPr>
      </w:pPr>
      <w:bookmarkStart w:id="309" w:name="_Toc13346"/>
      <w:bookmarkStart w:id="310" w:name="_Toc14563"/>
      <w:bookmarkStart w:id="311" w:name="_Toc6596"/>
      <w:bookmarkStart w:id="312" w:name="_Toc1125"/>
      <w:r>
        <w:rPr>
          <w:rFonts w:hint="eastAsia" w:ascii="宋体" w:hAnsi="宋体" w:eastAsia="宋体" w:cs="宋体"/>
          <w:b/>
          <w:bCs/>
          <w:color w:val="auto"/>
          <w:sz w:val="24"/>
          <w:highlight w:val="none"/>
          <w:lang w:val="zh-CN"/>
        </w:rPr>
        <w:t>2.15 检验和验收</w:t>
      </w:r>
      <w:bookmarkEnd w:id="309"/>
      <w:bookmarkEnd w:id="310"/>
      <w:bookmarkEnd w:id="311"/>
      <w:bookmarkEnd w:id="312"/>
    </w:p>
    <w:p w14:paraId="0B038DC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2.15.1乙方按照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14:paraId="05265D3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34A037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2.15.3检验和验收标准、程序等具体内容以及前述验收书的效力详见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p w14:paraId="67D528B2">
      <w:pPr>
        <w:spacing w:line="360" w:lineRule="auto"/>
        <w:ind w:firstLine="437"/>
        <w:outlineLvl w:val="2"/>
        <w:rPr>
          <w:rFonts w:ascii="宋体" w:hAnsi="宋体" w:eastAsia="宋体" w:cs="宋体"/>
          <w:b/>
          <w:bCs/>
          <w:color w:val="auto"/>
          <w:sz w:val="24"/>
          <w:highlight w:val="none"/>
        </w:rPr>
      </w:pPr>
      <w:bookmarkStart w:id="313" w:name="_Toc9339"/>
      <w:bookmarkStart w:id="314" w:name="_Toc279701263"/>
      <w:bookmarkStart w:id="315" w:name="_Toc12773"/>
      <w:bookmarkStart w:id="316" w:name="_Toc487900373"/>
      <w:bookmarkStart w:id="317" w:name="_Toc259093692"/>
      <w:bookmarkStart w:id="318" w:name="_Toc18567"/>
      <w:bookmarkStart w:id="319" w:name="_Toc10330"/>
      <w:r>
        <w:rPr>
          <w:rFonts w:hint="eastAsia" w:ascii="宋体" w:hAnsi="宋体" w:eastAsia="宋体" w:cs="宋体"/>
          <w:b/>
          <w:bCs/>
          <w:color w:val="auto"/>
          <w:sz w:val="24"/>
          <w:highlight w:val="none"/>
        </w:rPr>
        <w:t xml:space="preserve">2.16 </w:t>
      </w:r>
      <w:r>
        <w:rPr>
          <w:rFonts w:hint="eastAsia" w:ascii="宋体" w:hAnsi="宋体" w:eastAsia="宋体" w:cs="宋体"/>
          <w:b/>
          <w:bCs/>
          <w:color w:val="auto"/>
          <w:sz w:val="24"/>
          <w:highlight w:val="none"/>
          <w:lang w:val="zh-CN"/>
        </w:rPr>
        <w:t>合同使用的文字和适用的法律</w:t>
      </w:r>
      <w:bookmarkEnd w:id="313"/>
      <w:bookmarkEnd w:id="314"/>
      <w:bookmarkEnd w:id="315"/>
      <w:bookmarkEnd w:id="316"/>
      <w:bookmarkEnd w:id="317"/>
      <w:bookmarkEnd w:id="318"/>
      <w:bookmarkEnd w:id="319"/>
    </w:p>
    <w:p w14:paraId="471C9B4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2.16.1合同使用汉语书就、变更和解释；</w:t>
      </w:r>
    </w:p>
    <w:p w14:paraId="78D8A55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2.16.2合同适用中华人民共和国法律。</w:t>
      </w:r>
    </w:p>
    <w:p w14:paraId="2C700A55">
      <w:pPr>
        <w:spacing w:line="360" w:lineRule="auto"/>
        <w:ind w:firstLine="437"/>
        <w:outlineLvl w:val="2"/>
        <w:rPr>
          <w:rFonts w:ascii="宋体" w:hAnsi="宋体" w:eastAsia="宋体" w:cs="宋体"/>
          <w:b/>
          <w:color w:val="auto"/>
          <w:sz w:val="24"/>
          <w:highlight w:val="none"/>
        </w:rPr>
      </w:pPr>
      <w:bookmarkStart w:id="320" w:name="_Toc12004"/>
      <w:bookmarkStart w:id="321" w:name="_Toc279701264"/>
      <w:bookmarkStart w:id="322" w:name="_Toc16673"/>
      <w:bookmarkStart w:id="323" w:name="_Toc4916"/>
      <w:bookmarkStart w:id="324" w:name="_Toc259093693"/>
      <w:bookmarkStart w:id="325" w:name="_Toc3148"/>
      <w:r>
        <w:rPr>
          <w:rFonts w:hint="eastAsia" w:ascii="宋体" w:hAnsi="宋体" w:eastAsia="宋体" w:cs="宋体"/>
          <w:b/>
          <w:bCs/>
          <w:color w:val="auto"/>
          <w:sz w:val="24"/>
          <w:highlight w:val="none"/>
          <w:lang w:val="zh-CN"/>
        </w:rPr>
        <w:t>2.17 履约保证金</w:t>
      </w:r>
      <w:bookmarkEnd w:id="320"/>
      <w:bookmarkEnd w:id="321"/>
      <w:bookmarkEnd w:id="322"/>
      <w:bookmarkEnd w:id="323"/>
      <w:bookmarkEnd w:id="324"/>
      <w:bookmarkEnd w:id="325"/>
    </w:p>
    <w:p w14:paraId="548969A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2.17.1采购文件要求乙方提交履约保证金的，乙方应按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w:t>
      </w:r>
    </w:p>
    <w:p w14:paraId="59741E3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2.17.2履约保证金在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约定期间内不予退还或者应完全有效，前述约定期间届满之日起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r>
        <w:rPr>
          <w:rFonts w:hint="eastAsia" w:ascii="宋体" w:hAnsi="宋体" w:eastAsia="宋体" w:cs="宋体"/>
          <w:color w:val="auto"/>
          <w:sz w:val="24"/>
          <w:szCs w:val="24"/>
          <w:highlight w:val="none"/>
        </w:rPr>
        <w:t>甲方逾期退还履约保证金应承担违约责任。</w:t>
      </w:r>
    </w:p>
    <w:p w14:paraId="765F0F6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415999D">
      <w:pPr>
        <w:spacing w:line="360" w:lineRule="auto"/>
        <w:ind w:firstLine="437"/>
        <w:outlineLvl w:val="2"/>
        <w:rPr>
          <w:rFonts w:ascii="宋体" w:hAnsi="宋体" w:eastAsia="宋体" w:cs="宋体"/>
          <w:b/>
          <w:color w:val="auto"/>
          <w:sz w:val="24"/>
          <w:highlight w:val="none"/>
        </w:rPr>
      </w:pPr>
      <w:bookmarkStart w:id="326" w:name="_Toc14001"/>
      <w:bookmarkStart w:id="327" w:name="_Toc6885"/>
      <w:bookmarkStart w:id="328" w:name="_Toc19890"/>
      <w:bookmarkStart w:id="329" w:name="_Toc24811"/>
      <w:r>
        <w:rPr>
          <w:rFonts w:hint="eastAsia" w:ascii="宋体" w:hAnsi="宋体" w:eastAsia="宋体" w:cs="宋体"/>
          <w:b/>
          <w:bCs/>
          <w:color w:val="auto"/>
          <w:sz w:val="24"/>
          <w:highlight w:val="none"/>
          <w:lang w:val="zh-CN"/>
        </w:rPr>
        <w:t>2.18 合同份数</w:t>
      </w:r>
      <w:bookmarkEnd w:id="326"/>
      <w:bookmarkEnd w:id="327"/>
      <w:bookmarkEnd w:id="328"/>
      <w:bookmarkEnd w:id="329"/>
    </w:p>
    <w:p w14:paraId="645A11A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45841BC8">
      <w:pPr>
        <w:spacing w:line="360" w:lineRule="auto"/>
        <w:jc w:val="center"/>
        <w:outlineLvl w:val="1"/>
        <w:rPr>
          <w:rFonts w:ascii="宋体" w:hAnsi="宋体" w:eastAsia="宋体" w:cs="宋体"/>
          <w:b/>
          <w:color w:val="auto"/>
          <w:sz w:val="24"/>
          <w:highlight w:val="none"/>
        </w:rPr>
      </w:pPr>
      <w:r>
        <w:rPr>
          <w:rFonts w:hint="eastAsia" w:ascii="宋体" w:hAnsi="宋体" w:eastAsia="宋体" w:cs="宋体"/>
          <w:color w:val="auto"/>
          <w:sz w:val="24"/>
          <w:highlight w:val="none"/>
        </w:rPr>
        <w:br w:type="page"/>
      </w:r>
      <w:bookmarkStart w:id="330" w:name="_Toc9386"/>
      <w:bookmarkStart w:id="331" w:name="_Toc331685784"/>
      <w:bookmarkStart w:id="332" w:name="_Toc24206"/>
      <w:r>
        <w:rPr>
          <w:rFonts w:hint="eastAsia" w:ascii="宋体" w:hAnsi="宋体" w:eastAsia="宋体" w:cs="宋体"/>
          <w:b/>
          <w:color w:val="auto"/>
          <w:sz w:val="24"/>
          <w:highlight w:val="none"/>
        </w:rPr>
        <w:t>第三部分 合同专用条款</w:t>
      </w:r>
      <w:bookmarkEnd w:id="330"/>
      <w:bookmarkEnd w:id="331"/>
      <w:bookmarkEnd w:id="332"/>
    </w:p>
    <w:p w14:paraId="1A16947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3"/>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50"/>
        <w:gridCol w:w="8120"/>
      </w:tblGrid>
      <w:tr w14:paraId="737C1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474" w:type="pct"/>
            <w:tcBorders>
              <w:left w:val="single" w:color="000000" w:sz="4" w:space="0"/>
            </w:tcBorders>
            <w:vAlign w:val="center"/>
          </w:tcPr>
          <w:p w14:paraId="584AC11B">
            <w:pPr>
              <w:pStyle w:val="31"/>
              <w:spacing w:line="360" w:lineRule="auto"/>
              <w:rPr>
                <w:rFonts w:eastAsia="宋体"/>
                <w:b/>
                <w:color w:val="auto"/>
                <w:sz w:val="21"/>
                <w:szCs w:val="21"/>
                <w:highlight w:val="none"/>
                <w:lang w:eastAsia="en-US"/>
              </w:rPr>
            </w:pPr>
            <w:r>
              <w:rPr>
                <w:rFonts w:hint="eastAsia" w:eastAsia="宋体"/>
                <w:b/>
                <w:color w:val="auto"/>
                <w:sz w:val="21"/>
                <w:szCs w:val="21"/>
                <w:highlight w:val="none"/>
                <w:lang w:eastAsia="en-US"/>
              </w:rPr>
              <w:t>条款号</w:t>
            </w:r>
          </w:p>
        </w:tc>
        <w:tc>
          <w:tcPr>
            <w:tcW w:w="4525" w:type="pct"/>
            <w:vAlign w:val="center"/>
          </w:tcPr>
          <w:p w14:paraId="6878488A">
            <w:pPr>
              <w:pStyle w:val="31"/>
              <w:spacing w:line="360" w:lineRule="auto"/>
              <w:jc w:val="center"/>
              <w:rPr>
                <w:rFonts w:eastAsia="宋体"/>
                <w:b/>
                <w:color w:val="auto"/>
                <w:sz w:val="21"/>
                <w:szCs w:val="21"/>
                <w:highlight w:val="none"/>
                <w:lang w:eastAsia="en-US"/>
              </w:rPr>
            </w:pPr>
            <w:r>
              <w:rPr>
                <w:rFonts w:hint="eastAsia" w:eastAsia="宋体"/>
                <w:b/>
                <w:color w:val="auto"/>
                <w:sz w:val="21"/>
                <w:szCs w:val="21"/>
                <w:highlight w:val="none"/>
                <w:lang w:eastAsia="en-US"/>
              </w:rPr>
              <w:t>约定内容</w:t>
            </w:r>
          </w:p>
        </w:tc>
      </w:tr>
      <w:tr w14:paraId="56DD1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474" w:type="pct"/>
            <w:tcBorders>
              <w:left w:val="single" w:color="000000" w:sz="4" w:space="0"/>
            </w:tcBorders>
            <w:vAlign w:val="center"/>
          </w:tcPr>
          <w:p w14:paraId="58687288">
            <w:pPr>
              <w:pStyle w:val="31"/>
              <w:spacing w:line="360" w:lineRule="auto"/>
              <w:rPr>
                <w:rFonts w:eastAsia="宋体"/>
                <w:color w:val="auto"/>
                <w:highlight w:val="none"/>
                <w:lang w:eastAsia="en-US"/>
              </w:rPr>
            </w:pPr>
          </w:p>
        </w:tc>
        <w:tc>
          <w:tcPr>
            <w:tcW w:w="4525" w:type="pct"/>
            <w:vAlign w:val="center"/>
          </w:tcPr>
          <w:p w14:paraId="607C5029">
            <w:pPr>
              <w:widowControl/>
              <w:spacing w:line="360" w:lineRule="auto"/>
              <w:rPr>
                <w:rFonts w:eastAsia="宋体"/>
                <w:color w:val="auto"/>
                <w:highlight w:val="none"/>
              </w:rPr>
            </w:pPr>
          </w:p>
        </w:tc>
      </w:tr>
      <w:tr w14:paraId="5252D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474" w:type="pct"/>
            <w:tcBorders>
              <w:left w:val="single" w:color="000000" w:sz="4" w:space="0"/>
            </w:tcBorders>
            <w:vAlign w:val="center"/>
          </w:tcPr>
          <w:p w14:paraId="02FBE022">
            <w:pPr>
              <w:pStyle w:val="31"/>
              <w:spacing w:line="360" w:lineRule="auto"/>
              <w:rPr>
                <w:rFonts w:eastAsia="宋体"/>
                <w:color w:val="auto"/>
                <w:highlight w:val="none"/>
              </w:rPr>
            </w:pPr>
          </w:p>
        </w:tc>
        <w:tc>
          <w:tcPr>
            <w:tcW w:w="4525" w:type="pct"/>
            <w:vAlign w:val="center"/>
          </w:tcPr>
          <w:p w14:paraId="0BB03851">
            <w:pPr>
              <w:pStyle w:val="31"/>
              <w:spacing w:line="360" w:lineRule="auto"/>
              <w:rPr>
                <w:rFonts w:eastAsia="宋体"/>
                <w:color w:val="auto"/>
                <w:highlight w:val="none"/>
              </w:rPr>
            </w:pPr>
          </w:p>
        </w:tc>
      </w:tr>
      <w:tr w14:paraId="7B95C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474" w:type="pct"/>
            <w:tcBorders>
              <w:left w:val="single" w:color="000000" w:sz="4" w:space="0"/>
            </w:tcBorders>
            <w:vAlign w:val="center"/>
          </w:tcPr>
          <w:p w14:paraId="18A5A6D9">
            <w:pPr>
              <w:pStyle w:val="31"/>
              <w:spacing w:line="360" w:lineRule="auto"/>
              <w:rPr>
                <w:rFonts w:eastAsia="宋体"/>
                <w:color w:val="auto"/>
                <w:highlight w:val="none"/>
              </w:rPr>
            </w:pPr>
          </w:p>
        </w:tc>
        <w:tc>
          <w:tcPr>
            <w:tcW w:w="4525" w:type="pct"/>
            <w:vAlign w:val="center"/>
          </w:tcPr>
          <w:p w14:paraId="0532FDAF">
            <w:pPr>
              <w:pStyle w:val="31"/>
              <w:spacing w:line="360" w:lineRule="auto"/>
              <w:rPr>
                <w:rFonts w:eastAsia="宋体"/>
                <w:color w:val="auto"/>
                <w:highlight w:val="none"/>
              </w:rPr>
            </w:pPr>
          </w:p>
        </w:tc>
      </w:tr>
      <w:tr w14:paraId="72AD1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474" w:type="pct"/>
            <w:tcBorders>
              <w:left w:val="single" w:color="000000" w:sz="4" w:space="0"/>
            </w:tcBorders>
            <w:vAlign w:val="center"/>
          </w:tcPr>
          <w:p w14:paraId="5693CC2D">
            <w:pPr>
              <w:pStyle w:val="31"/>
              <w:spacing w:line="360" w:lineRule="auto"/>
              <w:rPr>
                <w:rFonts w:eastAsia="宋体"/>
                <w:color w:val="auto"/>
                <w:highlight w:val="none"/>
              </w:rPr>
            </w:pPr>
          </w:p>
        </w:tc>
        <w:tc>
          <w:tcPr>
            <w:tcW w:w="4525" w:type="pct"/>
            <w:vAlign w:val="center"/>
          </w:tcPr>
          <w:p w14:paraId="60DEC0FB">
            <w:pPr>
              <w:pStyle w:val="31"/>
              <w:spacing w:line="360" w:lineRule="auto"/>
              <w:rPr>
                <w:rFonts w:eastAsia="宋体"/>
                <w:color w:val="auto"/>
                <w:highlight w:val="none"/>
              </w:rPr>
            </w:pPr>
          </w:p>
        </w:tc>
      </w:tr>
      <w:tr w14:paraId="714B8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474" w:type="pct"/>
            <w:tcBorders>
              <w:left w:val="single" w:color="000000" w:sz="4" w:space="0"/>
            </w:tcBorders>
            <w:vAlign w:val="center"/>
          </w:tcPr>
          <w:p w14:paraId="6B3B6A55">
            <w:pPr>
              <w:pStyle w:val="31"/>
              <w:spacing w:line="360" w:lineRule="auto"/>
              <w:rPr>
                <w:rFonts w:eastAsia="宋体"/>
                <w:color w:val="auto"/>
                <w:highlight w:val="none"/>
              </w:rPr>
            </w:pPr>
          </w:p>
        </w:tc>
        <w:tc>
          <w:tcPr>
            <w:tcW w:w="4525" w:type="pct"/>
            <w:vAlign w:val="center"/>
          </w:tcPr>
          <w:p w14:paraId="34C14A84">
            <w:pPr>
              <w:pStyle w:val="31"/>
              <w:spacing w:line="360" w:lineRule="auto"/>
              <w:rPr>
                <w:rFonts w:eastAsia="宋体"/>
                <w:color w:val="auto"/>
                <w:highlight w:val="none"/>
              </w:rPr>
            </w:pPr>
          </w:p>
        </w:tc>
      </w:tr>
      <w:tr w14:paraId="716E6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474" w:type="pct"/>
            <w:tcBorders>
              <w:left w:val="single" w:color="000000" w:sz="4" w:space="0"/>
            </w:tcBorders>
            <w:vAlign w:val="center"/>
          </w:tcPr>
          <w:p w14:paraId="180675E2">
            <w:pPr>
              <w:pStyle w:val="31"/>
              <w:spacing w:line="360" w:lineRule="auto"/>
              <w:rPr>
                <w:rFonts w:eastAsia="宋体"/>
                <w:color w:val="auto"/>
                <w:highlight w:val="none"/>
              </w:rPr>
            </w:pPr>
          </w:p>
        </w:tc>
        <w:tc>
          <w:tcPr>
            <w:tcW w:w="4525" w:type="pct"/>
            <w:vAlign w:val="center"/>
          </w:tcPr>
          <w:p w14:paraId="40B34953">
            <w:pPr>
              <w:pStyle w:val="31"/>
              <w:spacing w:line="360" w:lineRule="auto"/>
              <w:rPr>
                <w:rFonts w:eastAsia="宋体"/>
                <w:color w:val="auto"/>
                <w:highlight w:val="none"/>
              </w:rPr>
            </w:pPr>
          </w:p>
        </w:tc>
      </w:tr>
      <w:tr w14:paraId="548C9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474" w:type="pct"/>
            <w:tcBorders>
              <w:left w:val="single" w:color="000000" w:sz="4" w:space="0"/>
            </w:tcBorders>
            <w:vAlign w:val="center"/>
          </w:tcPr>
          <w:p w14:paraId="56C279FA">
            <w:pPr>
              <w:pStyle w:val="31"/>
              <w:spacing w:line="360" w:lineRule="auto"/>
              <w:rPr>
                <w:rFonts w:eastAsia="宋体"/>
                <w:color w:val="auto"/>
                <w:highlight w:val="none"/>
              </w:rPr>
            </w:pPr>
          </w:p>
        </w:tc>
        <w:tc>
          <w:tcPr>
            <w:tcW w:w="4525" w:type="pct"/>
            <w:vAlign w:val="center"/>
          </w:tcPr>
          <w:p w14:paraId="23E8C9C2">
            <w:pPr>
              <w:pStyle w:val="31"/>
              <w:spacing w:line="360" w:lineRule="auto"/>
              <w:rPr>
                <w:rFonts w:eastAsia="宋体"/>
                <w:color w:val="auto"/>
                <w:highlight w:val="none"/>
              </w:rPr>
            </w:pPr>
          </w:p>
        </w:tc>
      </w:tr>
      <w:tr w14:paraId="33AB8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474" w:type="pct"/>
            <w:tcBorders>
              <w:left w:val="single" w:color="000000" w:sz="4" w:space="0"/>
            </w:tcBorders>
            <w:vAlign w:val="center"/>
          </w:tcPr>
          <w:p w14:paraId="704F5F11">
            <w:pPr>
              <w:pStyle w:val="31"/>
              <w:spacing w:line="360" w:lineRule="auto"/>
              <w:rPr>
                <w:rFonts w:eastAsia="宋体"/>
                <w:color w:val="auto"/>
                <w:highlight w:val="none"/>
              </w:rPr>
            </w:pPr>
          </w:p>
        </w:tc>
        <w:tc>
          <w:tcPr>
            <w:tcW w:w="4525" w:type="pct"/>
            <w:vAlign w:val="center"/>
          </w:tcPr>
          <w:p w14:paraId="402547A4">
            <w:pPr>
              <w:pStyle w:val="31"/>
              <w:spacing w:line="360" w:lineRule="auto"/>
              <w:rPr>
                <w:rFonts w:eastAsia="宋体"/>
                <w:color w:val="auto"/>
                <w:highlight w:val="none"/>
              </w:rPr>
            </w:pPr>
          </w:p>
        </w:tc>
      </w:tr>
    </w:tbl>
    <w:p w14:paraId="1A3D48B9">
      <w:pPr>
        <w:spacing w:line="360" w:lineRule="auto"/>
        <w:rPr>
          <w:rFonts w:ascii="宋体" w:hAnsi="宋体" w:eastAsia="宋体" w:cs="宋体"/>
          <w:color w:val="auto"/>
          <w:sz w:val="28"/>
          <w:szCs w:val="27"/>
          <w:highlight w:val="none"/>
        </w:rPr>
      </w:pPr>
      <w:r>
        <w:rPr>
          <w:rFonts w:hint="eastAsia" w:ascii="宋体" w:hAnsi="宋体" w:eastAsia="宋体" w:cs="宋体"/>
          <w:color w:val="auto"/>
          <w:sz w:val="28"/>
          <w:szCs w:val="27"/>
          <w:highlight w:val="none"/>
        </w:rPr>
        <w:br w:type="page"/>
      </w:r>
    </w:p>
    <w:p w14:paraId="3A35DC60">
      <w:pPr>
        <w:widowControl/>
        <w:spacing w:line="360" w:lineRule="auto"/>
        <w:jc w:val="center"/>
        <w:outlineLvl w:val="0"/>
        <w:rPr>
          <w:rStyle w:val="27"/>
          <w:rFonts w:ascii="宋体" w:hAnsi="宋体" w:eastAsia="宋体" w:cs="宋体"/>
          <w:color w:val="auto"/>
          <w:highlight w:val="none"/>
        </w:rPr>
      </w:pPr>
      <w:bookmarkStart w:id="333" w:name="_Toc17916"/>
      <w:bookmarkStart w:id="334" w:name="_Toc12632"/>
      <w:bookmarkStart w:id="335" w:name="_Toc24777"/>
      <w:bookmarkStart w:id="336" w:name="_Toc2430"/>
      <w:bookmarkStart w:id="337" w:name="_Toc20352"/>
      <w:bookmarkStart w:id="338" w:name="_Toc15"/>
      <w:bookmarkStart w:id="339" w:name="_Toc4180"/>
      <w:bookmarkStart w:id="340" w:name="_Toc1939"/>
      <w:bookmarkStart w:id="341" w:name="_Toc25148"/>
      <w:bookmarkStart w:id="342" w:name="_Toc14071"/>
      <w:bookmarkStart w:id="343" w:name="_Toc19642"/>
      <w:bookmarkStart w:id="344" w:name="_Toc26536"/>
      <w:r>
        <w:rPr>
          <w:rStyle w:val="27"/>
          <w:rFonts w:hint="eastAsia" w:ascii="宋体" w:hAnsi="宋体" w:eastAsia="宋体" w:cs="宋体"/>
          <w:color w:val="auto"/>
          <w:highlight w:val="none"/>
        </w:rPr>
        <w:t>第六章  响应文件格式</w:t>
      </w:r>
      <w:bookmarkEnd w:id="333"/>
      <w:bookmarkEnd w:id="334"/>
      <w:bookmarkEnd w:id="335"/>
      <w:bookmarkEnd w:id="336"/>
      <w:bookmarkEnd w:id="337"/>
      <w:bookmarkEnd w:id="338"/>
      <w:bookmarkEnd w:id="339"/>
      <w:bookmarkEnd w:id="340"/>
      <w:bookmarkEnd w:id="341"/>
      <w:bookmarkEnd w:id="342"/>
      <w:bookmarkEnd w:id="343"/>
      <w:bookmarkEnd w:id="344"/>
    </w:p>
    <w:p w14:paraId="08DEAE2D">
      <w:pPr>
        <w:keepNext w:val="0"/>
        <w:keepLines w:val="0"/>
        <w:pageBreakBefore w:val="0"/>
        <w:widowControl w:val="0"/>
        <w:tabs>
          <w:tab w:val="left" w:pos="420"/>
          <w:tab w:val="left" w:pos="4200"/>
        </w:tabs>
        <w:kinsoku/>
        <w:wordWrap/>
        <w:overflowPunct/>
        <w:topLinePunct w:val="0"/>
        <w:autoSpaceDE/>
        <w:autoSpaceDN/>
        <w:bidi w:val="0"/>
        <w:adjustRightInd/>
        <w:snapToGrid/>
        <w:spacing w:line="900" w:lineRule="exact"/>
        <w:ind w:firstLine="0" w:firstLineChars="0"/>
        <w:jc w:val="center"/>
        <w:rPr>
          <w:rFonts w:hint="eastAsia" w:ascii="宋体" w:hAnsi="宋体" w:cs="宋体"/>
          <w:b/>
          <w:bCs w:val="0"/>
          <w:color w:val="auto"/>
          <w:sz w:val="40"/>
          <w:szCs w:val="44"/>
          <w:highlight w:val="none"/>
          <w:u w:val="single"/>
        </w:rPr>
      </w:pPr>
      <w:r>
        <w:rPr>
          <w:rFonts w:hint="eastAsia" w:ascii="宋体" w:hAnsi="宋体" w:cs="宋体"/>
          <w:b/>
          <w:bCs w:val="0"/>
          <w:color w:val="auto"/>
          <w:sz w:val="40"/>
          <w:szCs w:val="44"/>
          <w:highlight w:val="none"/>
          <w:u w:val="single"/>
          <w:lang w:val="en-US" w:eastAsia="zh-CN"/>
        </w:rPr>
        <w:t xml:space="preserve">                    </w:t>
      </w:r>
      <w:r>
        <w:rPr>
          <w:rFonts w:hint="eastAsia" w:asciiTheme="minorEastAsia" w:hAnsiTheme="minorEastAsia" w:eastAsiaTheme="minorEastAsia" w:cstheme="minorEastAsia"/>
          <w:b/>
          <w:bCs w:val="0"/>
          <w:color w:val="auto"/>
          <w:sz w:val="36"/>
          <w:szCs w:val="8"/>
          <w:highlight w:val="none"/>
          <w:lang w:val="en-US" w:eastAsia="zh-CN"/>
        </w:rPr>
        <w:t>（项目名称</w:t>
      </w:r>
      <w:r>
        <w:rPr>
          <w:rFonts w:hint="eastAsia" w:asciiTheme="minorEastAsia" w:hAnsiTheme="minorEastAsia" w:eastAsiaTheme="minorEastAsia" w:cstheme="minorEastAsia"/>
          <w:b/>
          <w:bCs w:val="0"/>
          <w:color w:val="auto"/>
          <w:sz w:val="36"/>
          <w:szCs w:val="8"/>
          <w:highlight w:val="none"/>
        </w:rPr>
        <w:t>）</w:t>
      </w:r>
    </w:p>
    <w:p w14:paraId="2E538557">
      <w:pPr>
        <w:spacing w:line="360" w:lineRule="auto"/>
        <w:jc w:val="center"/>
        <w:rPr>
          <w:rFonts w:ascii="宋体" w:hAnsi="宋体" w:eastAsia="宋体" w:cs="宋体"/>
          <w:b/>
          <w:color w:val="auto"/>
          <w:sz w:val="72"/>
          <w:highlight w:val="none"/>
        </w:rPr>
      </w:pPr>
    </w:p>
    <w:p w14:paraId="65C50A0A">
      <w:pPr>
        <w:spacing w:line="360" w:lineRule="auto"/>
        <w:jc w:val="center"/>
        <w:rPr>
          <w:rFonts w:ascii="宋体" w:hAnsi="宋体" w:eastAsia="宋体" w:cs="宋体"/>
          <w:b/>
          <w:color w:val="auto"/>
          <w:sz w:val="72"/>
          <w:highlight w:val="none"/>
        </w:rPr>
      </w:pPr>
      <w:r>
        <w:rPr>
          <w:rFonts w:hint="eastAsia" w:ascii="宋体" w:hAnsi="宋体" w:eastAsia="宋体" w:cs="宋体"/>
          <w:b/>
          <w:color w:val="auto"/>
          <w:sz w:val="72"/>
          <w:highlight w:val="none"/>
        </w:rPr>
        <w:t>响</w:t>
      </w:r>
    </w:p>
    <w:p w14:paraId="2C99C26C">
      <w:pPr>
        <w:spacing w:line="360" w:lineRule="auto"/>
        <w:jc w:val="center"/>
        <w:rPr>
          <w:rFonts w:ascii="宋体" w:hAnsi="宋体" w:eastAsia="宋体" w:cs="宋体"/>
          <w:b/>
          <w:color w:val="auto"/>
          <w:sz w:val="72"/>
          <w:highlight w:val="none"/>
        </w:rPr>
      </w:pPr>
      <w:r>
        <w:rPr>
          <w:rFonts w:hint="eastAsia" w:ascii="宋体" w:hAnsi="宋体" w:eastAsia="宋体" w:cs="宋体"/>
          <w:b/>
          <w:color w:val="auto"/>
          <w:sz w:val="72"/>
          <w:highlight w:val="none"/>
        </w:rPr>
        <w:t>应</w:t>
      </w:r>
    </w:p>
    <w:p w14:paraId="68156AA3">
      <w:pPr>
        <w:spacing w:line="360" w:lineRule="auto"/>
        <w:jc w:val="center"/>
        <w:rPr>
          <w:rFonts w:ascii="宋体" w:hAnsi="宋体" w:eastAsia="宋体" w:cs="宋体"/>
          <w:b/>
          <w:color w:val="auto"/>
          <w:sz w:val="72"/>
          <w:highlight w:val="none"/>
        </w:rPr>
      </w:pPr>
      <w:r>
        <w:rPr>
          <w:rFonts w:hint="eastAsia" w:ascii="宋体" w:hAnsi="宋体" w:eastAsia="宋体" w:cs="宋体"/>
          <w:b/>
          <w:color w:val="auto"/>
          <w:sz w:val="72"/>
          <w:highlight w:val="none"/>
        </w:rPr>
        <w:t>文</w:t>
      </w:r>
    </w:p>
    <w:p w14:paraId="6EE38D3A">
      <w:pPr>
        <w:spacing w:line="360" w:lineRule="auto"/>
        <w:jc w:val="center"/>
        <w:rPr>
          <w:rFonts w:ascii="宋体" w:hAnsi="宋体" w:eastAsia="宋体" w:cs="宋体"/>
          <w:b/>
          <w:color w:val="auto"/>
          <w:sz w:val="72"/>
          <w:highlight w:val="none"/>
        </w:rPr>
      </w:pPr>
      <w:r>
        <w:rPr>
          <w:rFonts w:hint="eastAsia" w:ascii="宋体" w:hAnsi="宋体" w:eastAsia="宋体" w:cs="宋体"/>
          <w:b/>
          <w:color w:val="auto"/>
          <w:sz w:val="72"/>
          <w:highlight w:val="none"/>
        </w:rPr>
        <w:t>件</w:t>
      </w:r>
    </w:p>
    <w:p w14:paraId="432AAA18">
      <w:pPr>
        <w:pStyle w:val="6"/>
        <w:spacing w:line="360" w:lineRule="auto"/>
        <w:rPr>
          <w:rFonts w:ascii="宋体" w:hAnsi="宋体" w:eastAsia="宋体" w:cs="宋体"/>
          <w:b/>
          <w:color w:val="auto"/>
          <w:sz w:val="28"/>
          <w:szCs w:val="28"/>
          <w:highlight w:val="none"/>
        </w:rPr>
      </w:pPr>
    </w:p>
    <w:p w14:paraId="427A1089">
      <w:pPr>
        <w:tabs>
          <w:tab w:val="left" w:pos="2410"/>
        </w:tabs>
        <w:autoSpaceDE w:val="0"/>
        <w:autoSpaceDN w:val="0"/>
        <w:adjustRightInd w:val="0"/>
        <w:snapToGrid w:val="0"/>
        <w:spacing w:line="360" w:lineRule="auto"/>
        <w:ind w:firstLine="643" w:firstLineChars="200"/>
        <w:rPr>
          <w:rFonts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p>
    <w:p w14:paraId="33571123">
      <w:pPr>
        <w:tabs>
          <w:tab w:val="left" w:pos="2410"/>
        </w:tabs>
        <w:autoSpaceDE w:val="0"/>
        <w:autoSpaceDN w:val="0"/>
        <w:adjustRightInd w:val="0"/>
        <w:snapToGrid w:val="0"/>
        <w:spacing w:line="360" w:lineRule="auto"/>
        <w:ind w:firstLine="643" w:firstLineChars="200"/>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rPr>
        <w:t>供 应 商：</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lang w:eastAsia="zh-CN"/>
        </w:rPr>
        <w:t>（盖单位公章）</w:t>
      </w:r>
    </w:p>
    <w:p w14:paraId="3B44D5C2">
      <w:pPr>
        <w:keepNext w:val="0"/>
        <w:keepLines w:val="0"/>
        <w:pageBreakBefore w:val="0"/>
        <w:widowControl w:val="0"/>
        <w:tabs>
          <w:tab w:val="left" w:pos="2410"/>
        </w:tabs>
        <w:kinsoku/>
        <w:wordWrap/>
        <w:overflowPunct/>
        <w:topLinePunct w:val="0"/>
        <w:autoSpaceDE w:val="0"/>
        <w:autoSpaceDN w:val="0"/>
        <w:bidi w:val="0"/>
        <w:adjustRightInd w:val="0"/>
        <w:snapToGrid/>
        <w:spacing w:line="360" w:lineRule="auto"/>
        <w:ind w:right="0" w:rightChars="0" w:firstLine="643" w:firstLineChars="200"/>
        <w:jc w:val="both"/>
        <w:outlineLvl w:val="9"/>
        <w:rPr>
          <w:rFonts w:hint="eastAsia" w:asciiTheme="minorEastAsia" w:hAnsiTheme="minorEastAsia" w:eastAsiaTheme="minorEastAsia" w:cstheme="minorEastAsia"/>
          <w:b/>
          <w:color w:val="auto"/>
          <w:sz w:val="32"/>
          <w:highlight w:val="none"/>
          <w:lang w:val="en-US" w:eastAsia="zh-CN"/>
        </w:rPr>
      </w:pPr>
      <w:r>
        <w:rPr>
          <w:rFonts w:hint="eastAsia" w:asciiTheme="minorEastAsia" w:hAnsiTheme="minorEastAsia" w:eastAsiaTheme="minorEastAsia" w:cstheme="minorEastAsia"/>
          <w:b/>
          <w:color w:val="auto"/>
          <w:sz w:val="32"/>
          <w:highlight w:val="none"/>
          <w:lang w:val="en-US" w:eastAsia="zh-CN"/>
        </w:rPr>
        <w:t>法定代表人或其委托代理人：</w:t>
      </w:r>
      <w:r>
        <w:rPr>
          <w:rFonts w:hint="eastAsia" w:asciiTheme="minorEastAsia" w:hAnsiTheme="minorEastAsia" w:eastAsiaTheme="minorEastAsia" w:cstheme="minorEastAsia"/>
          <w:b/>
          <w:i w:val="0"/>
          <w:iCs w:val="0"/>
          <w:color w:val="auto"/>
          <w:sz w:val="32"/>
          <w:highlight w:val="none"/>
          <w:u w:val="single"/>
          <w:lang w:val="en-US" w:eastAsia="zh-CN"/>
        </w:rPr>
        <w:t xml:space="preserve">         </w:t>
      </w:r>
      <w:r>
        <w:rPr>
          <w:rFonts w:hint="eastAsia" w:ascii="宋体" w:hAnsi="宋体" w:eastAsia="宋体" w:cs="宋体"/>
          <w:b/>
          <w:color w:val="auto"/>
          <w:sz w:val="32"/>
          <w:highlight w:val="none"/>
          <w:lang w:val="en-US" w:eastAsia="zh-CN"/>
        </w:rPr>
        <w:t>（签字或盖章）</w:t>
      </w:r>
    </w:p>
    <w:p w14:paraId="4957070C">
      <w:pPr>
        <w:pStyle w:val="6"/>
        <w:rPr>
          <w:color w:val="auto"/>
          <w:highlight w:val="none"/>
        </w:rPr>
      </w:pPr>
    </w:p>
    <w:p w14:paraId="3487AAEF">
      <w:pPr>
        <w:spacing w:line="360" w:lineRule="auto"/>
        <w:jc w:val="center"/>
        <w:rPr>
          <w:rFonts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p>
    <w:p w14:paraId="48625CD3">
      <w:pPr>
        <w:widowControl/>
        <w:spacing w:line="360" w:lineRule="auto"/>
        <w:jc w:val="left"/>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4EBFFFEC">
      <w:pPr>
        <w:spacing w:line="360" w:lineRule="auto"/>
        <w:jc w:val="center"/>
        <w:outlineLvl w:val="1"/>
        <w:rPr>
          <w:rFonts w:ascii="宋体" w:hAnsi="宋体" w:eastAsia="宋体" w:cs="宋体"/>
          <w:b/>
          <w:color w:val="auto"/>
          <w:sz w:val="24"/>
          <w:highlight w:val="none"/>
        </w:rPr>
      </w:pPr>
      <w:bookmarkStart w:id="345" w:name="_Toc164"/>
      <w:r>
        <w:rPr>
          <w:rFonts w:hint="eastAsia" w:ascii="宋体" w:hAnsi="宋体" w:eastAsia="宋体" w:cs="宋体"/>
          <w:b/>
          <w:color w:val="auto"/>
          <w:sz w:val="24"/>
          <w:highlight w:val="none"/>
        </w:rPr>
        <w:t>一、报价表格式</w:t>
      </w:r>
      <w:bookmarkEnd w:id="345"/>
    </w:p>
    <w:p w14:paraId="6BB81A36">
      <w:pPr>
        <w:spacing w:line="360" w:lineRule="auto"/>
        <w:jc w:val="left"/>
        <w:outlineLvl w:val="2"/>
        <w:rPr>
          <w:rFonts w:ascii="宋体" w:hAnsi="宋体" w:eastAsia="宋体" w:cs="宋体"/>
          <w:b/>
          <w:color w:val="auto"/>
          <w:sz w:val="24"/>
          <w:szCs w:val="28"/>
          <w:highlight w:val="none"/>
        </w:rPr>
      </w:pPr>
      <w:bookmarkStart w:id="346" w:name="_Toc3080"/>
      <w:r>
        <w:rPr>
          <w:rFonts w:hint="eastAsia" w:ascii="宋体" w:hAnsi="宋体" w:eastAsia="宋体" w:cs="宋体"/>
          <w:b/>
          <w:color w:val="auto"/>
          <w:sz w:val="24"/>
          <w:szCs w:val="28"/>
          <w:highlight w:val="none"/>
        </w:rPr>
        <w:t>1-1 报价表</w:t>
      </w:r>
      <w:bookmarkEnd w:id="346"/>
    </w:p>
    <w:p w14:paraId="63335263">
      <w:pPr>
        <w:snapToGrid w:val="0"/>
        <w:spacing w:line="360" w:lineRule="auto"/>
        <w:jc w:val="left"/>
        <w:rPr>
          <w:rFonts w:ascii="宋体" w:hAnsi="宋体" w:eastAsia="宋体" w:cs="宋体"/>
          <w:b/>
          <w:color w:val="auto"/>
          <w:sz w:val="24"/>
          <w:szCs w:val="28"/>
          <w:highlight w:val="none"/>
        </w:rPr>
      </w:pPr>
      <w:r>
        <w:rPr>
          <w:rFonts w:hint="eastAsia" w:ascii="宋体" w:hAnsi="宋体" w:eastAsia="宋体" w:cs="宋体"/>
          <w:b/>
          <w:color w:val="auto"/>
          <w:sz w:val="24"/>
          <w:szCs w:val="28"/>
          <w:highlight w:val="none"/>
        </w:rPr>
        <w:t>项目名称：</w:t>
      </w:r>
      <w:r>
        <w:rPr>
          <w:rFonts w:hint="eastAsia" w:ascii="宋体" w:hAnsi="宋体" w:eastAsia="宋体" w:cs="宋体"/>
          <w:b/>
          <w:color w:val="auto"/>
          <w:sz w:val="24"/>
          <w:szCs w:val="28"/>
          <w:highlight w:val="none"/>
          <w:u w:val="single"/>
        </w:rPr>
        <w:t xml:space="preserve">          </w:t>
      </w:r>
    </w:p>
    <w:p w14:paraId="2ECCE1E7">
      <w:pPr>
        <w:snapToGrid w:val="0"/>
        <w:spacing w:line="360" w:lineRule="auto"/>
        <w:jc w:val="left"/>
        <w:rPr>
          <w:rFonts w:ascii="宋体" w:hAnsi="宋体" w:eastAsia="宋体" w:cs="宋体"/>
          <w:b/>
          <w:bCs/>
          <w:color w:val="auto"/>
          <w:sz w:val="24"/>
          <w:szCs w:val="28"/>
          <w:highlight w:val="none"/>
          <w:u w:val="single"/>
        </w:rPr>
      </w:pPr>
      <w:r>
        <w:rPr>
          <w:rFonts w:hint="eastAsia" w:ascii="宋体" w:hAnsi="宋体" w:eastAsia="宋体" w:cs="宋体"/>
          <w:b/>
          <w:color w:val="auto"/>
          <w:sz w:val="24"/>
          <w:szCs w:val="28"/>
          <w:highlight w:val="none"/>
        </w:rPr>
        <w:t>项目编号：</w:t>
      </w:r>
      <w:r>
        <w:rPr>
          <w:rFonts w:hint="eastAsia" w:ascii="宋体" w:hAnsi="宋体" w:eastAsia="宋体" w:cs="宋体"/>
          <w:b/>
          <w:color w:val="auto"/>
          <w:sz w:val="24"/>
          <w:szCs w:val="28"/>
          <w:highlight w:val="none"/>
          <w:u w:val="single"/>
        </w:rPr>
        <w:t xml:space="preserve">          </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2"/>
        <w:gridCol w:w="6187"/>
      </w:tblGrid>
      <w:tr w14:paraId="63AB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626" w:type="pct"/>
            <w:tcBorders>
              <w:top w:val="single" w:color="auto" w:sz="4" w:space="0"/>
              <w:left w:val="single" w:color="auto" w:sz="4" w:space="0"/>
              <w:bottom w:val="single" w:color="auto" w:sz="4" w:space="0"/>
              <w:right w:val="single" w:color="auto" w:sz="4" w:space="0"/>
            </w:tcBorders>
            <w:vAlign w:val="center"/>
          </w:tcPr>
          <w:p w14:paraId="341A9730">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供应商名称</w:t>
            </w:r>
          </w:p>
        </w:tc>
        <w:tc>
          <w:tcPr>
            <w:tcW w:w="3373" w:type="pct"/>
            <w:tcBorders>
              <w:left w:val="single" w:color="auto" w:sz="4" w:space="0"/>
            </w:tcBorders>
            <w:vAlign w:val="center"/>
          </w:tcPr>
          <w:p w14:paraId="490D091A">
            <w:pPr>
              <w:spacing w:line="360" w:lineRule="auto"/>
              <w:rPr>
                <w:rFonts w:ascii="宋体" w:hAnsi="宋体" w:eastAsia="宋体" w:cs="宋体"/>
                <w:b/>
                <w:color w:val="auto"/>
                <w:sz w:val="24"/>
                <w:highlight w:val="none"/>
                <w:u w:val="single"/>
              </w:rPr>
            </w:pPr>
            <w:r>
              <w:rPr>
                <w:rFonts w:hint="eastAsia" w:ascii="宋体" w:hAnsi="宋体" w:eastAsia="宋体" w:cs="宋体"/>
                <w:b/>
                <w:color w:val="auto"/>
                <w:sz w:val="24"/>
                <w:szCs w:val="28"/>
                <w:highlight w:val="none"/>
              </w:rPr>
              <w:t xml:space="preserve">          </w:t>
            </w:r>
          </w:p>
        </w:tc>
      </w:tr>
      <w:tr w14:paraId="1302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626" w:type="pct"/>
            <w:tcBorders>
              <w:top w:val="single" w:color="auto" w:sz="4" w:space="0"/>
              <w:left w:val="single" w:color="auto" w:sz="4" w:space="0"/>
              <w:bottom w:val="single" w:color="auto" w:sz="4" w:space="0"/>
              <w:right w:val="single" w:color="auto" w:sz="4" w:space="0"/>
            </w:tcBorders>
            <w:vAlign w:val="center"/>
          </w:tcPr>
          <w:p w14:paraId="0215A2F1">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磋商范围</w:t>
            </w:r>
          </w:p>
        </w:tc>
        <w:tc>
          <w:tcPr>
            <w:tcW w:w="3373" w:type="pct"/>
            <w:tcBorders>
              <w:left w:val="single" w:color="auto" w:sz="4" w:space="0"/>
            </w:tcBorders>
            <w:vAlign w:val="center"/>
          </w:tcPr>
          <w:p w14:paraId="4A393A59">
            <w:pPr>
              <w:widowControl/>
              <w:spacing w:line="360" w:lineRule="auto"/>
              <w:rPr>
                <w:rFonts w:ascii="宋体" w:hAnsi="宋体" w:eastAsia="宋体" w:cs="宋体"/>
                <w:b/>
                <w:color w:val="auto"/>
                <w:sz w:val="24"/>
                <w:highlight w:val="none"/>
              </w:rPr>
            </w:pPr>
            <w:r>
              <w:rPr>
                <w:rFonts w:hint="eastAsia" w:ascii="宋体" w:hAnsi="宋体" w:eastAsia="宋体" w:cs="宋体"/>
                <w:color w:val="auto"/>
                <w:sz w:val="24"/>
                <w:szCs w:val="28"/>
                <w:highlight w:val="none"/>
              </w:rPr>
              <w:t xml:space="preserve">全部 </w:t>
            </w:r>
          </w:p>
        </w:tc>
      </w:tr>
      <w:tr w14:paraId="5309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626" w:type="pct"/>
            <w:tcBorders>
              <w:top w:val="single" w:color="auto" w:sz="4" w:space="0"/>
            </w:tcBorders>
            <w:vAlign w:val="center"/>
          </w:tcPr>
          <w:p w14:paraId="480D13BD">
            <w:pPr>
              <w:spacing w:line="360" w:lineRule="auto"/>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报价</w:t>
            </w:r>
          </w:p>
          <w:p w14:paraId="43391202">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（详见备注说明）</w:t>
            </w:r>
          </w:p>
        </w:tc>
        <w:tc>
          <w:tcPr>
            <w:tcW w:w="3373" w:type="pct"/>
            <w:vAlign w:val="center"/>
          </w:tcPr>
          <w:p w14:paraId="0E43B908">
            <w:pPr>
              <w:snapToGrid w:val="0"/>
              <w:spacing w:line="360" w:lineRule="auto"/>
              <w:rPr>
                <w:rFonts w:ascii="宋体" w:hAnsi="宋体" w:eastAsia="宋体" w:cs="宋体"/>
                <w:color w:val="auto"/>
                <w:sz w:val="24"/>
                <w:szCs w:val="28"/>
                <w:highlight w:val="none"/>
              </w:rPr>
            </w:pPr>
          </w:p>
          <w:p w14:paraId="79383E5B">
            <w:pPr>
              <w:snapToGrid w:val="0"/>
              <w:spacing w:line="360" w:lineRule="auto"/>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3661596E">
            <w:pPr>
              <w:spacing w:line="360" w:lineRule="auto"/>
              <w:rPr>
                <w:rFonts w:hint="default" w:ascii="宋体" w:hAnsi="宋体" w:eastAsia="宋体" w:cs="宋体"/>
                <w:color w:val="auto"/>
                <w:sz w:val="24"/>
                <w:highlight w:val="none"/>
                <w:lang w:val="en-US"/>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元/年</w:t>
            </w:r>
          </w:p>
          <w:p w14:paraId="7D2BE838">
            <w:pPr>
              <w:snapToGrid w:val="0"/>
              <w:spacing w:line="360" w:lineRule="auto"/>
              <w:rPr>
                <w:rFonts w:ascii="宋体" w:hAnsi="宋体" w:eastAsia="宋体" w:cs="宋体"/>
                <w:b/>
                <w:color w:val="auto"/>
                <w:sz w:val="24"/>
                <w:highlight w:val="none"/>
              </w:rPr>
            </w:pPr>
          </w:p>
        </w:tc>
      </w:tr>
      <w:tr w14:paraId="2C35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626" w:type="pct"/>
            <w:vAlign w:val="center"/>
          </w:tcPr>
          <w:p w14:paraId="3FA5B7A4">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备注说明</w:t>
            </w:r>
          </w:p>
        </w:tc>
        <w:tc>
          <w:tcPr>
            <w:tcW w:w="3373" w:type="pct"/>
            <w:vAlign w:val="center"/>
          </w:tcPr>
          <w:p w14:paraId="551E9748">
            <w:pPr>
              <w:spacing w:line="360" w:lineRule="auto"/>
              <w:rPr>
                <w:rFonts w:ascii="宋体" w:hAnsi="宋体" w:eastAsia="宋体" w:cs="宋体"/>
                <w:b/>
                <w:color w:val="auto"/>
                <w:sz w:val="24"/>
                <w:highlight w:val="none"/>
              </w:rPr>
            </w:pPr>
            <w:r>
              <w:rPr>
                <w:rFonts w:hint="eastAsia" w:ascii="宋体" w:hAnsi="宋体" w:eastAsia="宋体" w:cs="宋体"/>
                <w:bCs/>
                <w:color w:val="auto"/>
                <w:sz w:val="24"/>
                <w:szCs w:val="24"/>
                <w:highlight w:val="none"/>
              </w:rPr>
              <w:t xml:space="preserve">                     </w:t>
            </w:r>
          </w:p>
        </w:tc>
      </w:tr>
    </w:tbl>
    <w:p w14:paraId="7BFAC791">
      <w:pPr>
        <w:spacing w:line="360" w:lineRule="auto"/>
        <w:ind w:firstLine="4800" w:firstLineChars="2000"/>
        <w:rPr>
          <w:rFonts w:ascii="宋体" w:hAnsi="宋体" w:eastAsia="宋体" w:cs="宋体"/>
          <w:color w:val="auto"/>
          <w:sz w:val="24"/>
          <w:highlight w:val="none"/>
        </w:rPr>
      </w:pPr>
      <w:r>
        <w:rPr>
          <w:rFonts w:hint="default" w:ascii="Times New Roman" w:hAnsi="Times New Roman" w:eastAsia="宋体" w:cs="Times New Roman"/>
          <w:color w:val="auto"/>
          <w:sz w:val="24"/>
          <w:highlight w:val="none"/>
        </w:rPr>
        <w:t>供应商</w:t>
      </w:r>
      <w:r>
        <w:rPr>
          <w:rFonts w:hint="default" w:ascii="Times New Roman" w:hAnsi="Times New Roman" w:eastAsia="宋体" w:cs="Times New Roman"/>
          <w:color w:val="auto"/>
          <w:sz w:val="24"/>
          <w:highlight w:val="none"/>
          <w:lang w:eastAsia="zh-CN"/>
        </w:rPr>
        <w:t>（盖单位公章）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79D318B4">
      <w:pPr>
        <w:spacing w:line="360" w:lineRule="auto"/>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3A185272">
      <w:pPr>
        <w:adjustRightInd w:val="0"/>
        <w:snapToGrid w:val="0"/>
        <w:spacing w:line="360" w:lineRule="auto"/>
        <w:rPr>
          <w:rFonts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注：</w:t>
      </w:r>
    </w:p>
    <w:p w14:paraId="6DDF581B">
      <w:pPr>
        <w:adjustRightInd w:val="0"/>
        <w:snapToGrid w:val="0"/>
        <w:spacing w:line="360" w:lineRule="auto"/>
        <w:ind w:firstLine="482" w:firstLineChars="200"/>
        <w:rPr>
          <w:rFonts w:ascii="宋体" w:hAnsi="宋体" w:eastAsia="宋体" w:cs="宋体"/>
          <w:color w:val="auto"/>
          <w:sz w:val="24"/>
          <w:highlight w:val="none"/>
        </w:rPr>
      </w:pPr>
      <w:r>
        <w:rPr>
          <w:rFonts w:hint="eastAsia" w:ascii="宋体" w:hAnsi="宋体" w:eastAsia="宋体" w:cs="宋体"/>
          <w:b/>
          <w:bCs/>
          <w:color w:val="auto"/>
          <w:sz w:val="24"/>
          <w:szCs w:val="28"/>
          <w:highlight w:val="none"/>
        </w:rPr>
        <w:t>1.本表内容根据磋商文件要求包括了服务及其配套的设计、采购、制造、检测、试验、运输、保险、仓储、税费以及现场落地、安装及安装耗损、调试、培训、技术服务（包括技术资料、图纸的提供）质保期内的售后服务保障等所有费用。</w:t>
      </w:r>
    </w:p>
    <w:p w14:paraId="464429EE">
      <w:pPr>
        <w:adjustRightInd w:val="0"/>
        <w:snapToGrid w:val="0"/>
        <w:spacing w:line="360" w:lineRule="auto"/>
        <w:ind w:firstLine="482" w:firstLineChars="200"/>
        <w:rPr>
          <w:rFonts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2.特殊事项在备注中注明。</w:t>
      </w:r>
    </w:p>
    <w:p w14:paraId="4C8E2C3A">
      <w:pPr>
        <w:adjustRightInd w:val="0"/>
        <w:snapToGrid w:val="0"/>
        <w:spacing w:line="360" w:lineRule="auto"/>
        <w:ind w:firstLine="482" w:firstLineChars="200"/>
        <w:rPr>
          <w:rFonts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3.表中大写金额与小写金额不一致的，以大写金额为准。</w:t>
      </w:r>
    </w:p>
    <w:p w14:paraId="5D3F7808">
      <w:pPr>
        <w:pStyle w:val="6"/>
        <w:spacing w:after="0" w:line="360" w:lineRule="auto"/>
        <w:ind w:firstLine="482" w:firstLineChars="200"/>
        <w:rPr>
          <w:rFonts w:ascii="宋体" w:hAnsi="宋体" w:eastAsia="宋体" w:cs="宋体"/>
          <w:color w:val="auto"/>
          <w:highlight w:val="none"/>
          <w:lang w:val="en-US"/>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highlight w:val="none"/>
          <w:lang w:val="en-US"/>
        </w:rPr>
        <w:t>此表中报价作为本次磋商的首轮报价。</w:t>
      </w:r>
    </w:p>
    <w:p w14:paraId="53D25DBD">
      <w:pPr>
        <w:widowControl/>
        <w:spacing w:line="360" w:lineRule="auto"/>
        <w:jc w:val="left"/>
        <w:rPr>
          <w:rFonts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br w:type="page"/>
      </w:r>
    </w:p>
    <w:p w14:paraId="70ACEEFC">
      <w:pPr>
        <w:spacing w:line="360" w:lineRule="auto"/>
        <w:jc w:val="left"/>
        <w:outlineLvl w:val="2"/>
        <w:rPr>
          <w:rFonts w:ascii="宋体" w:hAnsi="宋体" w:eastAsia="宋体" w:cs="宋体"/>
          <w:b/>
          <w:color w:val="auto"/>
          <w:sz w:val="24"/>
          <w:szCs w:val="28"/>
          <w:highlight w:val="none"/>
        </w:rPr>
      </w:pPr>
      <w:bookmarkStart w:id="347" w:name="_Toc19760"/>
      <w:r>
        <w:rPr>
          <w:rFonts w:hint="eastAsia" w:ascii="宋体" w:hAnsi="宋体" w:eastAsia="宋体" w:cs="宋体"/>
          <w:b/>
          <w:color w:val="auto"/>
          <w:sz w:val="24"/>
          <w:szCs w:val="28"/>
          <w:highlight w:val="none"/>
        </w:rPr>
        <w:t>1-2 分项报价明细表</w:t>
      </w:r>
      <w:bookmarkEnd w:id="347"/>
    </w:p>
    <w:p w14:paraId="2ADB8F97">
      <w:pPr>
        <w:spacing w:line="360" w:lineRule="auto"/>
        <w:ind w:firstLine="435"/>
        <w:jc w:val="center"/>
        <w:rPr>
          <w:rFonts w:ascii="宋体" w:hAnsi="宋体" w:eastAsia="宋体" w:cs="宋体"/>
          <w:b/>
          <w:color w:val="auto"/>
          <w:sz w:val="24"/>
          <w:highlight w:val="none"/>
        </w:rPr>
      </w:pPr>
      <w:r>
        <w:rPr>
          <w:rFonts w:hint="eastAsia" w:ascii="宋体" w:hAnsi="宋体" w:eastAsia="宋体" w:cs="宋体"/>
          <w:i/>
          <w:color w:val="auto"/>
          <w:sz w:val="24"/>
          <w:highlight w:val="none"/>
        </w:rPr>
        <w:t>（仅供参考，供应商可自行制作格式）</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2192"/>
        <w:gridCol w:w="848"/>
        <w:gridCol w:w="1299"/>
        <w:gridCol w:w="3535"/>
      </w:tblGrid>
      <w:tr w14:paraId="5B34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07" w:type="pct"/>
            <w:vAlign w:val="center"/>
          </w:tcPr>
          <w:p w14:paraId="745B714B">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195" w:type="pct"/>
            <w:vAlign w:val="center"/>
          </w:tcPr>
          <w:p w14:paraId="5FD64BD8">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服务内容</w:t>
            </w:r>
          </w:p>
        </w:tc>
        <w:tc>
          <w:tcPr>
            <w:tcW w:w="462" w:type="pct"/>
            <w:vAlign w:val="center"/>
          </w:tcPr>
          <w:p w14:paraId="3FD369A4">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项</w:t>
            </w:r>
          </w:p>
        </w:tc>
        <w:tc>
          <w:tcPr>
            <w:tcW w:w="707" w:type="pct"/>
            <w:vAlign w:val="center"/>
          </w:tcPr>
          <w:p w14:paraId="53FCEDDC">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单价</w:t>
            </w:r>
          </w:p>
        </w:tc>
        <w:tc>
          <w:tcPr>
            <w:tcW w:w="1927" w:type="pct"/>
            <w:vAlign w:val="center"/>
          </w:tcPr>
          <w:p w14:paraId="4F21D444">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小计金额（元）</w:t>
            </w:r>
          </w:p>
        </w:tc>
      </w:tr>
      <w:tr w14:paraId="7D25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pct"/>
            <w:tcBorders>
              <w:bottom w:val="single" w:color="auto" w:sz="4" w:space="0"/>
            </w:tcBorders>
            <w:vAlign w:val="center"/>
          </w:tcPr>
          <w:p w14:paraId="32B196E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1195" w:type="pct"/>
            <w:vAlign w:val="center"/>
          </w:tcPr>
          <w:p w14:paraId="51CC272A">
            <w:pPr>
              <w:spacing w:line="360" w:lineRule="auto"/>
              <w:jc w:val="center"/>
              <w:rPr>
                <w:rFonts w:ascii="宋体" w:hAnsi="宋体" w:eastAsia="宋体" w:cs="宋体"/>
                <w:color w:val="auto"/>
                <w:sz w:val="24"/>
                <w:highlight w:val="none"/>
              </w:rPr>
            </w:pPr>
          </w:p>
        </w:tc>
        <w:tc>
          <w:tcPr>
            <w:tcW w:w="462" w:type="pct"/>
            <w:vAlign w:val="center"/>
          </w:tcPr>
          <w:p w14:paraId="349CF5CC">
            <w:pPr>
              <w:spacing w:line="360" w:lineRule="auto"/>
              <w:jc w:val="center"/>
              <w:rPr>
                <w:rFonts w:ascii="宋体" w:hAnsi="宋体" w:eastAsia="宋体" w:cs="宋体"/>
                <w:color w:val="auto"/>
                <w:sz w:val="24"/>
                <w:highlight w:val="none"/>
              </w:rPr>
            </w:pPr>
          </w:p>
        </w:tc>
        <w:tc>
          <w:tcPr>
            <w:tcW w:w="707" w:type="pct"/>
            <w:vAlign w:val="center"/>
          </w:tcPr>
          <w:p w14:paraId="70646770">
            <w:pPr>
              <w:spacing w:line="360" w:lineRule="auto"/>
              <w:jc w:val="center"/>
              <w:rPr>
                <w:rFonts w:ascii="宋体" w:hAnsi="宋体" w:eastAsia="宋体" w:cs="宋体"/>
                <w:color w:val="auto"/>
                <w:sz w:val="24"/>
                <w:highlight w:val="none"/>
              </w:rPr>
            </w:pPr>
          </w:p>
        </w:tc>
        <w:tc>
          <w:tcPr>
            <w:tcW w:w="1927" w:type="pct"/>
            <w:vAlign w:val="center"/>
          </w:tcPr>
          <w:p w14:paraId="14A1B5E8">
            <w:pPr>
              <w:spacing w:line="360" w:lineRule="auto"/>
              <w:jc w:val="center"/>
              <w:rPr>
                <w:rFonts w:ascii="宋体" w:hAnsi="宋体" w:eastAsia="宋体" w:cs="宋体"/>
                <w:color w:val="auto"/>
                <w:sz w:val="24"/>
                <w:highlight w:val="none"/>
              </w:rPr>
            </w:pPr>
          </w:p>
        </w:tc>
      </w:tr>
      <w:tr w14:paraId="4295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pct"/>
            <w:vAlign w:val="center"/>
          </w:tcPr>
          <w:p w14:paraId="259D7F50">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1195" w:type="pct"/>
            <w:vAlign w:val="center"/>
          </w:tcPr>
          <w:p w14:paraId="17D45DA4">
            <w:pPr>
              <w:spacing w:line="360" w:lineRule="auto"/>
              <w:jc w:val="center"/>
              <w:rPr>
                <w:rFonts w:ascii="宋体" w:hAnsi="宋体" w:eastAsia="宋体" w:cs="宋体"/>
                <w:color w:val="auto"/>
                <w:sz w:val="24"/>
                <w:highlight w:val="none"/>
              </w:rPr>
            </w:pPr>
          </w:p>
        </w:tc>
        <w:tc>
          <w:tcPr>
            <w:tcW w:w="462" w:type="pct"/>
            <w:vAlign w:val="center"/>
          </w:tcPr>
          <w:p w14:paraId="1E68535D">
            <w:pPr>
              <w:spacing w:line="360" w:lineRule="auto"/>
              <w:jc w:val="center"/>
              <w:rPr>
                <w:rFonts w:ascii="宋体" w:hAnsi="宋体" w:eastAsia="宋体" w:cs="宋体"/>
                <w:color w:val="auto"/>
                <w:sz w:val="24"/>
                <w:highlight w:val="none"/>
              </w:rPr>
            </w:pPr>
          </w:p>
        </w:tc>
        <w:tc>
          <w:tcPr>
            <w:tcW w:w="707" w:type="pct"/>
            <w:vAlign w:val="center"/>
          </w:tcPr>
          <w:p w14:paraId="0953F56C">
            <w:pPr>
              <w:spacing w:line="360" w:lineRule="auto"/>
              <w:jc w:val="center"/>
              <w:rPr>
                <w:rFonts w:ascii="宋体" w:hAnsi="宋体" w:eastAsia="宋体" w:cs="宋体"/>
                <w:color w:val="auto"/>
                <w:sz w:val="24"/>
                <w:highlight w:val="none"/>
              </w:rPr>
            </w:pPr>
          </w:p>
        </w:tc>
        <w:tc>
          <w:tcPr>
            <w:tcW w:w="1927" w:type="pct"/>
            <w:vAlign w:val="center"/>
          </w:tcPr>
          <w:p w14:paraId="3966DCDE">
            <w:pPr>
              <w:spacing w:line="360" w:lineRule="auto"/>
              <w:jc w:val="center"/>
              <w:rPr>
                <w:rFonts w:ascii="宋体" w:hAnsi="宋体" w:eastAsia="宋体" w:cs="宋体"/>
                <w:color w:val="auto"/>
                <w:sz w:val="24"/>
                <w:highlight w:val="none"/>
              </w:rPr>
            </w:pPr>
          </w:p>
        </w:tc>
      </w:tr>
      <w:tr w14:paraId="717D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pct"/>
            <w:vAlign w:val="center"/>
          </w:tcPr>
          <w:p w14:paraId="115C3E37">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1195" w:type="pct"/>
            <w:vAlign w:val="center"/>
          </w:tcPr>
          <w:p w14:paraId="1EA3F6BF">
            <w:pPr>
              <w:spacing w:line="360" w:lineRule="auto"/>
              <w:jc w:val="center"/>
              <w:rPr>
                <w:rFonts w:ascii="宋体" w:hAnsi="宋体" w:eastAsia="宋体" w:cs="宋体"/>
                <w:color w:val="auto"/>
                <w:sz w:val="24"/>
                <w:highlight w:val="none"/>
              </w:rPr>
            </w:pPr>
          </w:p>
        </w:tc>
        <w:tc>
          <w:tcPr>
            <w:tcW w:w="462" w:type="pct"/>
            <w:vAlign w:val="center"/>
          </w:tcPr>
          <w:p w14:paraId="6A39A68F">
            <w:pPr>
              <w:spacing w:line="360" w:lineRule="auto"/>
              <w:jc w:val="center"/>
              <w:rPr>
                <w:rFonts w:ascii="宋体" w:hAnsi="宋体" w:eastAsia="宋体" w:cs="宋体"/>
                <w:color w:val="auto"/>
                <w:sz w:val="24"/>
                <w:highlight w:val="none"/>
              </w:rPr>
            </w:pPr>
          </w:p>
        </w:tc>
        <w:tc>
          <w:tcPr>
            <w:tcW w:w="707" w:type="pct"/>
            <w:vAlign w:val="center"/>
          </w:tcPr>
          <w:p w14:paraId="459E4C9C">
            <w:pPr>
              <w:spacing w:line="360" w:lineRule="auto"/>
              <w:jc w:val="center"/>
              <w:rPr>
                <w:rFonts w:ascii="宋体" w:hAnsi="宋体" w:eastAsia="宋体" w:cs="宋体"/>
                <w:color w:val="auto"/>
                <w:sz w:val="24"/>
                <w:highlight w:val="none"/>
              </w:rPr>
            </w:pPr>
          </w:p>
        </w:tc>
        <w:tc>
          <w:tcPr>
            <w:tcW w:w="1927" w:type="pct"/>
            <w:vAlign w:val="center"/>
          </w:tcPr>
          <w:p w14:paraId="1BA1FE1B">
            <w:pPr>
              <w:spacing w:line="360" w:lineRule="auto"/>
              <w:jc w:val="center"/>
              <w:rPr>
                <w:rFonts w:ascii="宋体" w:hAnsi="宋体" w:eastAsia="宋体" w:cs="宋体"/>
                <w:color w:val="auto"/>
                <w:sz w:val="24"/>
                <w:highlight w:val="none"/>
              </w:rPr>
            </w:pPr>
          </w:p>
        </w:tc>
      </w:tr>
      <w:tr w14:paraId="0FBA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pct"/>
            <w:vAlign w:val="center"/>
          </w:tcPr>
          <w:p w14:paraId="606C8C1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w:t>
            </w:r>
          </w:p>
        </w:tc>
        <w:tc>
          <w:tcPr>
            <w:tcW w:w="1195" w:type="pct"/>
            <w:vAlign w:val="center"/>
          </w:tcPr>
          <w:p w14:paraId="0CACA953">
            <w:pPr>
              <w:spacing w:line="360" w:lineRule="auto"/>
              <w:jc w:val="center"/>
              <w:rPr>
                <w:rFonts w:ascii="宋体" w:hAnsi="宋体" w:eastAsia="宋体" w:cs="宋体"/>
                <w:color w:val="auto"/>
                <w:sz w:val="24"/>
                <w:highlight w:val="none"/>
              </w:rPr>
            </w:pPr>
          </w:p>
        </w:tc>
        <w:tc>
          <w:tcPr>
            <w:tcW w:w="462" w:type="pct"/>
            <w:vAlign w:val="center"/>
          </w:tcPr>
          <w:p w14:paraId="4F6772DC">
            <w:pPr>
              <w:spacing w:line="360" w:lineRule="auto"/>
              <w:jc w:val="center"/>
              <w:rPr>
                <w:rFonts w:ascii="宋体" w:hAnsi="宋体" w:eastAsia="宋体" w:cs="宋体"/>
                <w:color w:val="auto"/>
                <w:sz w:val="24"/>
                <w:highlight w:val="none"/>
              </w:rPr>
            </w:pPr>
          </w:p>
        </w:tc>
        <w:tc>
          <w:tcPr>
            <w:tcW w:w="707" w:type="pct"/>
            <w:vAlign w:val="center"/>
          </w:tcPr>
          <w:p w14:paraId="2FF665E5">
            <w:pPr>
              <w:spacing w:line="360" w:lineRule="auto"/>
              <w:jc w:val="center"/>
              <w:rPr>
                <w:rFonts w:ascii="宋体" w:hAnsi="宋体" w:eastAsia="宋体" w:cs="宋体"/>
                <w:color w:val="auto"/>
                <w:sz w:val="24"/>
                <w:highlight w:val="none"/>
              </w:rPr>
            </w:pPr>
          </w:p>
        </w:tc>
        <w:tc>
          <w:tcPr>
            <w:tcW w:w="1927" w:type="pct"/>
            <w:vAlign w:val="center"/>
          </w:tcPr>
          <w:p w14:paraId="151DA975">
            <w:pPr>
              <w:spacing w:line="360" w:lineRule="auto"/>
              <w:jc w:val="center"/>
              <w:rPr>
                <w:rFonts w:ascii="宋体" w:hAnsi="宋体" w:eastAsia="宋体" w:cs="宋体"/>
                <w:color w:val="auto"/>
                <w:sz w:val="24"/>
                <w:highlight w:val="none"/>
              </w:rPr>
            </w:pPr>
          </w:p>
        </w:tc>
      </w:tr>
      <w:tr w14:paraId="0FEA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pct"/>
            <w:vAlign w:val="center"/>
          </w:tcPr>
          <w:p w14:paraId="733B5D82">
            <w:pPr>
              <w:spacing w:line="360" w:lineRule="auto"/>
              <w:jc w:val="center"/>
              <w:rPr>
                <w:rFonts w:ascii="宋体" w:hAnsi="宋体" w:eastAsia="宋体" w:cs="宋体"/>
                <w:color w:val="auto"/>
                <w:sz w:val="24"/>
                <w:highlight w:val="none"/>
              </w:rPr>
            </w:pPr>
          </w:p>
        </w:tc>
        <w:tc>
          <w:tcPr>
            <w:tcW w:w="1195" w:type="pct"/>
            <w:vAlign w:val="center"/>
          </w:tcPr>
          <w:p w14:paraId="0A5A0F17">
            <w:pPr>
              <w:pStyle w:val="32"/>
              <w:spacing w:line="360" w:lineRule="auto"/>
              <w:jc w:val="center"/>
              <w:rPr>
                <w:rFonts w:ascii="宋体" w:hAnsi="宋体" w:cs="宋体"/>
                <w:color w:val="auto"/>
                <w:highlight w:val="none"/>
              </w:rPr>
            </w:pPr>
            <w:r>
              <w:rPr>
                <w:rFonts w:hint="eastAsia" w:ascii="宋体" w:hAnsi="宋体" w:cs="宋体"/>
                <w:color w:val="auto"/>
                <w:highlight w:val="none"/>
              </w:rPr>
              <w:t>其他费用</w:t>
            </w:r>
          </w:p>
        </w:tc>
        <w:tc>
          <w:tcPr>
            <w:tcW w:w="462" w:type="pct"/>
            <w:vAlign w:val="center"/>
          </w:tcPr>
          <w:p w14:paraId="4B489D8C">
            <w:pPr>
              <w:spacing w:line="360" w:lineRule="auto"/>
              <w:jc w:val="center"/>
              <w:rPr>
                <w:rFonts w:ascii="宋体" w:hAnsi="宋体" w:eastAsia="宋体" w:cs="宋体"/>
                <w:color w:val="auto"/>
                <w:sz w:val="24"/>
                <w:highlight w:val="none"/>
              </w:rPr>
            </w:pPr>
          </w:p>
        </w:tc>
        <w:tc>
          <w:tcPr>
            <w:tcW w:w="707" w:type="pct"/>
            <w:vAlign w:val="center"/>
          </w:tcPr>
          <w:p w14:paraId="393E051A">
            <w:pPr>
              <w:spacing w:line="360" w:lineRule="auto"/>
              <w:jc w:val="center"/>
              <w:rPr>
                <w:rFonts w:ascii="宋体" w:hAnsi="宋体" w:eastAsia="宋体" w:cs="宋体"/>
                <w:color w:val="auto"/>
                <w:sz w:val="24"/>
                <w:highlight w:val="none"/>
              </w:rPr>
            </w:pPr>
          </w:p>
        </w:tc>
        <w:tc>
          <w:tcPr>
            <w:tcW w:w="1927" w:type="pct"/>
            <w:vAlign w:val="center"/>
          </w:tcPr>
          <w:p w14:paraId="4D92F885">
            <w:pPr>
              <w:spacing w:line="360" w:lineRule="auto"/>
              <w:jc w:val="center"/>
              <w:rPr>
                <w:rFonts w:ascii="宋体" w:hAnsi="宋体" w:eastAsia="宋体" w:cs="宋体"/>
                <w:color w:val="auto"/>
                <w:sz w:val="24"/>
                <w:highlight w:val="none"/>
              </w:rPr>
            </w:pPr>
          </w:p>
        </w:tc>
      </w:tr>
      <w:tr w14:paraId="1C89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pct"/>
            <w:vAlign w:val="center"/>
          </w:tcPr>
          <w:p w14:paraId="1CF3BC06">
            <w:pPr>
              <w:spacing w:line="360" w:lineRule="auto"/>
              <w:jc w:val="center"/>
              <w:rPr>
                <w:rFonts w:ascii="宋体" w:hAnsi="宋体" w:eastAsia="宋体" w:cs="宋体"/>
                <w:color w:val="auto"/>
                <w:sz w:val="24"/>
                <w:highlight w:val="none"/>
              </w:rPr>
            </w:pPr>
          </w:p>
        </w:tc>
        <w:tc>
          <w:tcPr>
            <w:tcW w:w="1195" w:type="pct"/>
            <w:vAlign w:val="center"/>
          </w:tcPr>
          <w:p w14:paraId="131813C0">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w:t>
            </w:r>
          </w:p>
        </w:tc>
        <w:tc>
          <w:tcPr>
            <w:tcW w:w="462" w:type="pct"/>
            <w:vAlign w:val="center"/>
          </w:tcPr>
          <w:p w14:paraId="1E624346">
            <w:pPr>
              <w:spacing w:line="360" w:lineRule="auto"/>
              <w:jc w:val="center"/>
              <w:rPr>
                <w:rFonts w:ascii="宋体" w:hAnsi="宋体" w:eastAsia="宋体" w:cs="宋体"/>
                <w:color w:val="auto"/>
                <w:sz w:val="24"/>
                <w:highlight w:val="none"/>
              </w:rPr>
            </w:pPr>
          </w:p>
        </w:tc>
        <w:tc>
          <w:tcPr>
            <w:tcW w:w="707" w:type="pct"/>
            <w:vAlign w:val="center"/>
          </w:tcPr>
          <w:p w14:paraId="3CCE2F7E">
            <w:pPr>
              <w:spacing w:line="360" w:lineRule="auto"/>
              <w:jc w:val="center"/>
              <w:rPr>
                <w:rFonts w:ascii="宋体" w:hAnsi="宋体" w:eastAsia="宋体" w:cs="宋体"/>
                <w:color w:val="auto"/>
                <w:sz w:val="24"/>
                <w:highlight w:val="none"/>
              </w:rPr>
            </w:pPr>
          </w:p>
        </w:tc>
        <w:tc>
          <w:tcPr>
            <w:tcW w:w="1927" w:type="pct"/>
            <w:vAlign w:val="center"/>
          </w:tcPr>
          <w:p w14:paraId="71317A1C">
            <w:pPr>
              <w:spacing w:line="360" w:lineRule="auto"/>
              <w:jc w:val="center"/>
              <w:rPr>
                <w:rFonts w:ascii="宋体" w:hAnsi="宋体" w:eastAsia="宋体" w:cs="宋体"/>
                <w:color w:val="auto"/>
                <w:sz w:val="24"/>
                <w:highlight w:val="none"/>
              </w:rPr>
            </w:pPr>
          </w:p>
        </w:tc>
      </w:tr>
      <w:tr w14:paraId="2594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2" w:type="pct"/>
            <w:gridSpan w:val="4"/>
            <w:vAlign w:val="center"/>
          </w:tcPr>
          <w:p w14:paraId="7FD3281B">
            <w:pPr>
              <w:spacing w:line="360" w:lineRule="auto"/>
              <w:jc w:val="center"/>
              <w:rPr>
                <w:rFonts w:ascii="宋体" w:hAnsi="宋体" w:eastAsia="宋体" w:cs="宋体"/>
                <w:color w:val="auto"/>
                <w:sz w:val="24"/>
                <w:highlight w:val="none"/>
              </w:rPr>
            </w:pPr>
            <w:r>
              <w:rPr>
                <w:rFonts w:hint="eastAsia" w:ascii="宋体" w:hAnsi="宋体" w:eastAsia="宋体" w:cs="宋体"/>
                <w:b/>
                <w:color w:val="auto"/>
                <w:sz w:val="24"/>
                <w:highlight w:val="none"/>
              </w:rPr>
              <w:t>合计金额（元）</w:t>
            </w:r>
          </w:p>
        </w:tc>
        <w:tc>
          <w:tcPr>
            <w:tcW w:w="1927" w:type="pct"/>
            <w:vAlign w:val="center"/>
          </w:tcPr>
          <w:p w14:paraId="466B7481">
            <w:pPr>
              <w:spacing w:line="360" w:lineRule="auto"/>
              <w:jc w:val="center"/>
              <w:rPr>
                <w:rFonts w:ascii="宋体" w:hAnsi="宋体" w:eastAsia="宋体" w:cs="宋体"/>
                <w:color w:val="auto"/>
                <w:sz w:val="24"/>
                <w:highlight w:val="none"/>
              </w:rPr>
            </w:pPr>
          </w:p>
        </w:tc>
      </w:tr>
    </w:tbl>
    <w:p w14:paraId="07433465">
      <w:pPr>
        <w:spacing w:line="360" w:lineRule="auto"/>
        <w:ind w:firstLine="4800" w:firstLineChars="2000"/>
        <w:rPr>
          <w:rFonts w:ascii="宋体" w:hAnsi="宋体" w:eastAsia="宋体" w:cs="宋体"/>
          <w:color w:val="auto"/>
          <w:sz w:val="24"/>
          <w:highlight w:val="none"/>
        </w:rPr>
      </w:pPr>
      <w:r>
        <w:rPr>
          <w:rFonts w:hint="default" w:ascii="Times New Roman" w:hAnsi="Times New Roman" w:eastAsia="宋体" w:cs="Times New Roman"/>
          <w:color w:val="auto"/>
          <w:sz w:val="24"/>
          <w:highlight w:val="none"/>
        </w:rPr>
        <w:t>供应商</w:t>
      </w:r>
      <w:r>
        <w:rPr>
          <w:rFonts w:hint="default" w:ascii="Times New Roman" w:hAnsi="Times New Roman" w:eastAsia="宋体" w:cs="Times New Roman"/>
          <w:color w:val="auto"/>
          <w:sz w:val="24"/>
          <w:highlight w:val="none"/>
          <w:lang w:eastAsia="zh-CN"/>
        </w:rPr>
        <w:t>（盖单位公章）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5774E1C0">
      <w:pPr>
        <w:spacing w:line="360" w:lineRule="auto"/>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72EFB69">
      <w:pPr>
        <w:adjustRightInd w:val="0"/>
        <w:snapToGrid w:val="0"/>
        <w:spacing w:line="360" w:lineRule="auto"/>
        <w:rPr>
          <w:rFonts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注：</w:t>
      </w:r>
    </w:p>
    <w:p w14:paraId="54B9BCFF">
      <w:pPr>
        <w:adjustRightInd w:val="0"/>
        <w:snapToGrid w:val="0"/>
        <w:spacing w:line="360" w:lineRule="auto"/>
        <w:ind w:firstLine="482" w:firstLineChars="200"/>
        <w:rPr>
          <w:rFonts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表中所列服务为对应本项目需求的全部服务内容。如有漏项或缺项，供应商承担全部责任。</w:t>
      </w:r>
    </w:p>
    <w:p w14:paraId="1B1CAC48">
      <w:pPr>
        <w:widowControl/>
        <w:spacing w:line="360" w:lineRule="auto"/>
        <w:jc w:val="left"/>
        <w:rPr>
          <w:rFonts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br w:type="page"/>
      </w:r>
    </w:p>
    <w:p w14:paraId="0E8EF789">
      <w:pPr>
        <w:spacing w:line="360" w:lineRule="auto"/>
        <w:jc w:val="center"/>
        <w:outlineLvl w:val="1"/>
        <w:rPr>
          <w:rFonts w:ascii="宋体" w:hAnsi="宋体" w:eastAsia="宋体" w:cs="宋体"/>
          <w:b/>
          <w:color w:val="auto"/>
          <w:sz w:val="24"/>
          <w:highlight w:val="none"/>
        </w:rPr>
      </w:pPr>
      <w:bookmarkStart w:id="348" w:name="_Toc22895"/>
      <w:r>
        <w:rPr>
          <w:rFonts w:hint="eastAsia" w:ascii="宋体" w:hAnsi="宋体" w:eastAsia="宋体" w:cs="宋体"/>
          <w:b/>
          <w:color w:val="auto"/>
          <w:sz w:val="24"/>
          <w:highlight w:val="none"/>
        </w:rPr>
        <w:t>二、最后承诺报价表</w:t>
      </w:r>
      <w:bookmarkEnd w:id="348"/>
    </w:p>
    <w:p w14:paraId="7496EB7D">
      <w:pPr>
        <w:spacing w:line="360" w:lineRule="auto"/>
        <w:ind w:firstLine="236" w:firstLineChars="98"/>
        <w:jc w:val="center"/>
        <w:rPr>
          <w:rFonts w:ascii="宋体" w:hAnsi="宋体" w:eastAsia="宋体" w:cs="宋体"/>
          <w:b/>
          <w:color w:val="auto"/>
          <w:sz w:val="24"/>
          <w:szCs w:val="28"/>
          <w:highlight w:val="none"/>
        </w:rPr>
      </w:pPr>
      <w:r>
        <w:rPr>
          <w:rFonts w:hint="eastAsia" w:ascii="宋体" w:hAnsi="宋体" w:eastAsia="宋体" w:cs="宋体"/>
          <w:b/>
          <w:color w:val="auto"/>
          <w:sz w:val="24"/>
          <w:szCs w:val="28"/>
          <w:highlight w:val="none"/>
        </w:rPr>
        <w:t>（第</w:t>
      </w:r>
      <w:r>
        <w:rPr>
          <w:rFonts w:hint="eastAsia" w:ascii="宋体" w:hAnsi="宋体" w:eastAsia="宋体" w:cs="宋体"/>
          <w:b/>
          <w:color w:val="auto"/>
          <w:sz w:val="24"/>
          <w:szCs w:val="28"/>
          <w:highlight w:val="none"/>
          <w:u w:val="single"/>
        </w:rPr>
        <w:t xml:space="preserve">   </w:t>
      </w:r>
      <w:r>
        <w:rPr>
          <w:rFonts w:hint="eastAsia" w:ascii="宋体" w:hAnsi="宋体" w:eastAsia="宋体" w:cs="宋体"/>
          <w:b/>
          <w:color w:val="auto"/>
          <w:sz w:val="24"/>
          <w:szCs w:val="28"/>
          <w:highlight w:val="none"/>
        </w:rPr>
        <w:t>次报价书）</w:t>
      </w:r>
    </w:p>
    <w:p w14:paraId="5EED4B40">
      <w:pPr>
        <w:snapToGrid w:val="0"/>
        <w:spacing w:line="360" w:lineRule="auto"/>
        <w:jc w:val="left"/>
        <w:rPr>
          <w:rFonts w:ascii="宋体" w:hAnsi="宋体" w:eastAsia="宋体" w:cs="宋体"/>
          <w:b/>
          <w:color w:val="auto"/>
          <w:sz w:val="24"/>
          <w:szCs w:val="28"/>
          <w:highlight w:val="none"/>
        </w:rPr>
      </w:pPr>
      <w:r>
        <w:rPr>
          <w:rFonts w:hint="eastAsia" w:ascii="宋体" w:hAnsi="宋体" w:eastAsia="宋体" w:cs="宋体"/>
          <w:b/>
          <w:color w:val="auto"/>
          <w:sz w:val="24"/>
          <w:szCs w:val="28"/>
          <w:highlight w:val="none"/>
        </w:rPr>
        <w:t>项目名称：</w:t>
      </w:r>
      <w:r>
        <w:rPr>
          <w:rFonts w:hint="eastAsia" w:ascii="宋体" w:hAnsi="宋体" w:eastAsia="宋体" w:cs="宋体"/>
          <w:b/>
          <w:color w:val="auto"/>
          <w:sz w:val="24"/>
          <w:szCs w:val="28"/>
          <w:highlight w:val="none"/>
          <w:u w:val="single"/>
        </w:rPr>
        <w:t xml:space="preserve">          </w:t>
      </w:r>
    </w:p>
    <w:p w14:paraId="44CA5E26">
      <w:pPr>
        <w:snapToGrid w:val="0"/>
        <w:spacing w:line="360" w:lineRule="auto"/>
        <w:jc w:val="left"/>
        <w:rPr>
          <w:rFonts w:ascii="宋体" w:hAnsi="宋体" w:eastAsia="宋体" w:cs="宋体"/>
          <w:b/>
          <w:bCs/>
          <w:color w:val="auto"/>
          <w:sz w:val="24"/>
          <w:szCs w:val="28"/>
          <w:highlight w:val="none"/>
        </w:rPr>
      </w:pPr>
      <w:r>
        <w:rPr>
          <w:rFonts w:hint="eastAsia" w:ascii="宋体" w:hAnsi="宋体" w:eastAsia="宋体" w:cs="宋体"/>
          <w:b/>
          <w:color w:val="auto"/>
          <w:sz w:val="24"/>
          <w:szCs w:val="28"/>
          <w:highlight w:val="none"/>
        </w:rPr>
        <w:t>项目编号：</w:t>
      </w:r>
      <w:r>
        <w:rPr>
          <w:rFonts w:hint="eastAsia" w:ascii="宋体" w:hAnsi="宋体" w:eastAsia="宋体" w:cs="宋体"/>
          <w:b/>
          <w:color w:val="auto"/>
          <w:sz w:val="24"/>
          <w:szCs w:val="28"/>
          <w:highlight w:val="none"/>
          <w:u w:val="single"/>
        </w:rPr>
        <w:t xml:space="preserve">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7020"/>
      </w:tblGrid>
      <w:tr w14:paraId="0E2E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74" w:type="pct"/>
            <w:tcBorders>
              <w:top w:val="single" w:color="auto" w:sz="4" w:space="0"/>
              <w:left w:val="single" w:color="auto" w:sz="4" w:space="0"/>
              <w:bottom w:val="single" w:color="auto" w:sz="4" w:space="0"/>
              <w:right w:val="single" w:color="auto" w:sz="4" w:space="0"/>
            </w:tcBorders>
            <w:vAlign w:val="center"/>
          </w:tcPr>
          <w:p w14:paraId="4C58839D">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供应商名称</w:t>
            </w:r>
          </w:p>
        </w:tc>
        <w:tc>
          <w:tcPr>
            <w:tcW w:w="3825" w:type="pct"/>
            <w:tcBorders>
              <w:left w:val="single" w:color="auto" w:sz="4" w:space="0"/>
            </w:tcBorders>
          </w:tcPr>
          <w:p w14:paraId="68EDEA7B">
            <w:pPr>
              <w:spacing w:line="360" w:lineRule="auto"/>
              <w:rPr>
                <w:rFonts w:ascii="宋体" w:hAnsi="宋体" w:eastAsia="宋体" w:cs="宋体"/>
                <w:b/>
                <w:color w:val="auto"/>
                <w:sz w:val="24"/>
                <w:highlight w:val="none"/>
              </w:rPr>
            </w:pPr>
          </w:p>
        </w:tc>
      </w:tr>
      <w:tr w14:paraId="1885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74" w:type="pct"/>
            <w:tcBorders>
              <w:top w:val="single" w:color="auto" w:sz="4" w:space="0"/>
              <w:left w:val="single" w:color="auto" w:sz="4" w:space="0"/>
              <w:bottom w:val="single" w:color="auto" w:sz="4" w:space="0"/>
              <w:right w:val="single" w:color="auto" w:sz="4" w:space="0"/>
            </w:tcBorders>
            <w:vAlign w:val="center"/>
          </w:tcPr>
          <w:p w14:paraId="6E5FADEE">
            <w:pPr>
              <w:spacing w:line="360" w:lineRule="auto"/>
              <w:jc w:val="center"/>
              <w:rPr>
                <w:rFonts w:ascii="宋体" w:hAnsi="宋体" w:eastAsia="宋体" w:cs="宋体"/>
                <w:b/>
                <w:color w:val="auto"/>
                <w:sz w:val="24"/>
                <w:highlight w:val="none"/>
              </w:rPr>
            </w:pPr>
            <w:r>
              <w:rPr>
                <w:rFonts w:hint="eastAsia" w:ascii="宋体" w:hAnsi="宋体" w:eastAsia="宋体" w:cs="宋体"/>
                <w:b/>
                <w:bCs/>
                <w:color w:val="auto"/>
                <w:sz w:val="24"/>
                <w:szCs w:val="28"/>
                <w:highlight w:val="none"/>
              </w:rPr>
              <w:t>磋商</w:t>
            </w:r>
            <w:r>
              <w:rPr>
                <w:rFonts w:hint="eastAsia" w:ascii="宋体" w:hAnsi="宋体" w:eastAsia="宋体" w:cs="宋体"/>
                <w:b/>
                <w:color w:val="auto"/>
                <w:sz w:val="24"/>
                <w:highlight w:val="none"/>
              </w:rPr>
              <w:t>范围</w:t>
            </w:r>
          </w:p>
        </w:tc>
        <w:tc>
          <w:tcPr>
            <w:tcW w:w="3825" w:type="pct"/>
            <w:tcBorders>
              <w:left w:val="single" w:color="auto" w:sz="4" w:space="0"/>
            </w:tcBorders>
            <w:vAlign w:val="center"/>
          </w:tcPr>
          <w:p w14:paraId="7212950B">
            <w:pPr>
              <w:widowControl/>
              <w:spacing w:line="360" w:lineRule="auto"/>
              <w:rPr>
                <w:rFonts w:ascii="宋体" w:hAnsi="宋体" w:eastAsia="宋体" w:cs="宋体"/>
                <w:b/>
                <w:color w:val="auto"/>
                <w:sz w:val="24"/>
                <w:highlight w:val="none"/>
              </w:rPr>
            </w:pPr>
            <w:r>
              <w:rPr>
                <w:rFonts w:hint="eastAsia" w:ascii="宋体" w:hAnsi="宋体" w:eastAsia="宋体" w:cs="宋体"/>
                <w:color w:val="auto"/>
                <w:sz w:val="24"/>
                <w:szCs w:val="28"/>
                <w:highlight w:val="none"/>
              </w:rPr>
              <w:t xml:space="preserve">全部 </w:t>
            </w:r>
          </w:p>
        </w:tc>
      </w:tr>
      <w:tr w14:paraId="04B7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174" w:type="pct"/>
            <w:tcBorders>
              <w:top w:val="single" w:color="auto" w:sz="4" w:space="0"/>
            </w:tcBorders>
            <w:vAlign w:val="center"/>
          </w:tcPr>
          <w:p w14:paraId="0BF3FE76">
            <w:pPr>
              <w:spacing w:line="360" w:lineRule="auto"/>
              <w:jc w:val="center"/>
              <w:rPr>
                <w:rFonts w:hint="eastAsia" w:ascii="宋体" w:hAnsi="宋体" w:eastAsia="宋体" w:cs="宋体"/>
                <w:b/>
                <w:bCs/>
                <w:color w:val="auto"/>
                <w:sz w:val="24"/>
                <w:szCs w:val="28"/>
                <w:highlight w:val="none"/>
                <w:lang w:eastAsia="zh-CN"/>
              </w:rPr>
            </w:pPr>
            <w:r>
              <w:rPr>
                <w:rFonts w:hint="eastAsia" w:ascii="宋体" w:hAnsi="宋体" w:eastAsia="宋体" w:cs="宋体"/>
                <w:b/>
                <w:bCs/>
                <w:color w:val="auto"/>
                <w:sz w:val="24"/>
                <w:szCs w:val="28"/>
                <w:highlight w:val="none"/>
              </w:rPr>
              <w:t>最后报价</w:t>
            </w:r>
          </w:p>
          <w:p w14:paraId="0439FE43">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（详见备注说明）</w:t>
            </w:r>
          </w:p>
        </w:tc>
        <w:tc>
          <w:tcPr>
            <w:tcW w:w="3825" w:type="pct"/>
            <w:vAlign w:val="center"/>
          </w:tcPr>
          <w:p w14:paraId="31725AF2">
            <w:pPr>
              <w:snapToGrid w:val="0"/>
              <w:spacing w:line="360" w:lineRule="auto"/>
              <w:rPr>
                <w:rFonts w:ascii="宋体" w:hAnsi="宋体" w:eastAsia="宋体" w:cs="宋体"/>
                <w:color w:val="auto"/>
                <w:sz w:val="24"/>
                <w:szCs w:val="28"/>
                <w:highlight w:val="none"/>
              </w:rPr>
            </w:pPr>
          </w:p>
          <w:p w14:paraId="44728C02">
            <w:pPr>
              <w:snapToGrid w:val="0"/>
              <w:spacing w:line="360" w:lineRule="auto"/>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9456497">
            <w:pPr>
              <w:spacing w:line="360" w:lineRule="auto"/>
              <w:rPr>
                <w:rFonts w:ascii="宋体" w:hAnsi="宋体" w:eastAsia="宋体" w:cs="宋体"/>
                <w:b/>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元/年</w:t>
            </w:r>
            <w:r>
              <w:rPr>
                <w:rFonts w:hint="eastAsia" w:ascii="宋体" w:hAnsi="宋体" w:eastAsia="宋体" w:cs="宋体"/>
                <w:bCs/>
                <w:color w:val="auto"/>
                <w:sz w:val="24"/>
                <w:szCs w:val="24"/>
                <w:highlight w:val="none"/>
                <w:u w:val="single"/>
              </w:rPr>
              <w:t xml:space="preserve"> </w:t>
            </w:r>
          </w:p>
        </w:tc>
      </w:tr>
      <w:tr w14:paraId="6EFF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174" w:type="pct"/>
            <w:vAlign w:val="center"/>
          </w:tcPr>
          <w:p w14:paraId="355ED350">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备注说明</w:t>
            </w:r>
          </w:p>
        </w:tc>
        <w:tc>
          <w:tcPr>
            <w:tcW w:w="3825" w:type="pct"/>
          </w:tcPr>
          <w:p w14:paraId="61B7208B">
            <w:pPr>
              <w:spacing w:line="360" w:lineRule="auto"/>
              <w:rPr>
                <w:rFonts w:ascii="宋体" w:hAnsi="宋体" w:eastAsia="宋体" w:cs="宋体"/>
                <w:b/>
                <w:color w:val="auto"/>
                <w:sz w:val="24"/>
                <w:highlight w:val="none"/>
              </w:rPr>
            </w:pPr>
          </w:p>
        </w:tc>
      </w:tr>
    </w:tbl>
    <w:p w14:paraId="5054064F">
      <w:pPr>
        <w:spacing w:line="360" w:lineRule="auto"/>
        <w:ind w:firstLine="3600" w:firstLineChars="1500"/>
        <w:jc w:val="left"/>
        <w:rPr>
          <w:rFonts w:ascii="宋体" w:hAnsi="宋体" w:eastAsia="宋体" w:cs="宋体"/>
          <w:color w:val="auto"/>
          <w:sz w:val="24"/>
          <w:highlight w:val="none"/>
        </w:rPr>
      </w:pPr>
      <w:r>
        <w:rPr>
          <w:rFonts w:hint="eastAsia" w:ascii="宋体" w:hAnsi="宋体" w:eastAsia="宋体" w:cs="宋体"/>
          <w:color w:val="auto"/>
          <w:sz w:val="24"/>
          <w:highlight w:val="none"/>
        </w:rPr>
        <w:t>供应商公章或授权代表签字：</w:t>
      </w:r>
      <w:r>
        <w:rPr>
          <w:rFonts w:hint="eastAsia" w:ascii="宋体" w:hAnsi="宋体" w:eastAsia="宋体" w:cs="宋体"/>
          <w:color w:val="auto"/>
          <w:sz w:val="24"/>
          <w:highlight w:val="none"/>
          <w:u w:val="single"/>
        </w:rPr>
        <w:t xml:space="preserve">             </w:t>
      </w:r>
    </w:p>
    <w:p w14:paraId="52CA0193">
      <w:pPr>
        <w:spacing w:line="360" w:lineRule="auto"/>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24030618">
      <w:pPr>
        <w:spacing w:line="360" w:lineRule="auto"/>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注：</w:t>
      </w:r>
    </w:p>
    <w:p w14:paraId="5336ED4D">
      <w:pPr>
        <w:spacing w:line="360" w:lineRule="auto"/>
        <w:ind w:firstLine="482" w:firstLineChars="200"/>
        <w:jc w:val="left"/>
        <w:rPr>
          <w:rFonts w:ascii="宋体" w:hAnsi="宋体" w:eastAsia="宋体" w:cs="宋体"/>
          <w:bCs/>
          <w:color w:val="auto"/>
          <w:sz w:val="24"/>
          <w:highlight w:val="none"/>
        </w:rPr>
      </w:pPr>
      <w:r>
        <w:rPr>
          <w:rFonts w:hint="eastAsia" w:ascii="宋体" w:hAnsi="宋体" w:eastAsia="宋体" w:cs="宋体"/>
          <w:b/>
          <w:bCs/>
          <w:color w:val="auto"/>
          <w:sz w:val="24"/>
          <w:highlight w:val="none"/>
        </w:rPr>
        <w:t>1.本页《报价表》由供应商在接到报价通知后依据磋商情况填写,并在规定时间内提交。</w:t>
      </w:r>
      <w:r>
        <w:rPr>
          <w:rFonts w:hint="eastAsia" w:ascii="宋体" w:hAnsi="宋体" w:eastAsia="宋体" w:cs="宋体"/>
          <w:color w:val="auto"/>
          <w:sz w:val="24"/>
          <w:highlight w:val="none"/>
        </w:rPr>
        <w:t>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cs="宋体"/>
          <w:bCs/>
          <w:color w:val="auto"/>
          <w:sz w:val="24"/>
          <w:highlight w:val="none"/>
        </w:rPr>
        <w:t>此优惠率调整原则适用于合同内价格的计算及项目增减、变更时价格的计算。</w:t>
      </w:r>
    </w:p>
    <w:p w14:paraId="24124B29">
      <w:pPr>
        <w:adjustRightInd w:val="0"/>
        <w:snapToGrid w:val="0"/>
        <w:spacing w:line="360" w:lineRule="auto"/>
        <w:ind w:firstLine="482" w:firstLineChars="200"/>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2.表中大写金额与小写金额不一致的，以大写金额为准。</w:t>
      </w:r>
    </w:p>
    <w:p w14:paraId="218847C5">
      <w:pPr>
        <w:keepNext w:val="0"/>
        <w:keepLines w:val="0"/>
        <w:pageBreakBefore w:val="0"/>
        <w:widowControl/>
        <w:kinsoku w:val="0"/>
        <w:wordWrap/>
        <w:overflowPunct/>
        <w:topLinePunct w:val="0"/>
        <w:autoSpaceDE w:val="0"/>
        <w:autoSpaceDN w:val="0"/>
        <w:bidi w:val="0"/>
        <w:adjustRightInd w:val="0"/>
        <w:snapToGrid w:val="0"/>
        <w:ind w:firstLine="482"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color w:val="FF0000"/>
          <w:sz w:val="24"/>
          <w:szCs w:val="24"/>
          <w:highlight w:val="none"/>
          <w:lang w:val="en-US" w:eastAsia="zh-CN"/>
        </w:rPr>
        <w:t>本表用于多轮报价，供应商须在响应文件中装订一份未填写响应报价的表格，另备几份手持。</w:t>
      </w:r>
    </w:p>
    <w:p w14:paraId="43774115">
      <w:pPr>
        <w:pStyle w:val="22"/>
        <w:rPr>
          <w:highlight w:val="none"/>
        </w:rPr>
      </w:pPr>
    </w:p>
    <w:p w14:paraId="2EAD826A">
      <w:pPr>
        <w:widowControl/>
        <w:spacing w:line="360" w:lineRule="auto"/>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br w:type="page"/>
      </w:r>
    </w:p>
    <w:p w14:paraId="446DB606">
      <w:pPr>
        <w:spacing w:line="360" w:lineRule="auto"/>
        <w:jc w:val="center"/>
        <w:outlineLvl w:val="1"/>
        <w:rPr>
          <w:rFonts w:ascii="宋体" w:hAnsi="宋体" w:eastAsia="宋体" w:cs="宋体"/>
          <w:b/>
          <w:color w:val="auto"/>
          <w:sz w:val="24"/>
          <w:highlight w:val="none"/>
        </w:rPr>
      </w:pPr>
      <w:bookmarkStart w:id="349" w:name="_Toc6265"/>
      <w:r>
        <w:rPr>
          <w:rFonts w:hint="eastAsia" w:ascii="宋体" w:hAnsi="宋体" w:eastAsia="宋体" w:cs="宋体"/>
          <w:b/>
          <w:color w:val="auto"/>
          <w:sz w:val="24"/>
          <w:highlight w:val="none"/>
        </w:rPr>
        <w:t>三、磋商响应函</w:t>
      </w:r>
      <w:bookmarkEnd w:id="349"/>
    </w:p>
    <w:p w14:paraId="715F9482">
      <w:pPr>
        <w:pStyle w:val="11"/>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u w:val="none"/>
          <w:lang w:val="en-US" w:eastAsia="zh-CN"/>
        </w:rPr>
        <w:t>（</w:t>
      </w:r>
      <w:r>
        <w:rPr>
          <w:rFonts w:hint="default" w:ascii="Times New Roman" w:hAnsi="Times New Roman" w:cs="Times New Roman"/>
          <w:color w:val="auto"/>
          <w:sz w:val="24"/>
          <w:highlight w:val="none"/>
          <w:u w:val="none"/>
        </w:rPr>
        <w:t>采购人</w:t>
      </w:r>
      <w:r>
        <w:rPr>
          <w:rFonts w:hint="eastAsia" w:ascii="Times New Roman" w:hAnsi="Times New Roman" w:cs="Times New Roman"/>
          <w:color w:val="auto"/>
          <w:sz w:val="24"/>
          <w:highlight w:val="none"/>
          <w:u w:val="none"/>
          <w:lang w:val="en-US" w:eastAsia="zh-CN"/>
        </w:rPr>
        <w:t>）</w:t>
      </w:r>
    </w:p>
    <w:p w14:paraId="4B7D29E0">
      <w:pPr>
        <w:spacing w:line="360" w:lineRule="auto"/>
        <w:ind w:firstLine="480" w:firstLineChars="200"/>
        <w:rPr>
          <w:rFonts w:ascii="宋体" w:hAnsi="宋体" w:eastAsia="宋体" w:cs="宋体"/>
          <w:dstrike/>
          <w:color w:val="auto"/>
          <w:sz w:val="24"/>
          <w:highlight w:val="none"/>
        </w:rPr>
      </w:pPr>
      <w:r>
        <w:rPr>
          <w:rFonts w:hint="eastAsia" w:ascii="宋体" w:hAnsi="宋体" w:eastAsia="宋体" w:cs="宋体"/>
          <w:color w:val="auto"/>
          <w:sz w:val="24"/>
          <w:highlight w:val="none"/>
        </w:rPr>
        <w:t>根据贵方的</w:t>
      </w:r>
      <w:bookmarkStart w:id="350" w:name="_Hlk44287543"/>
      <w:r>
        <w:rPr>
          <w:rFonts w:hint="eastAsia" w:ascii="宋体" w:hAnsi="宋体" w:eastAsia="宋体" w:cs="宋体"/>
          <w:color w:val="auto"/>
          <w:sz w:val="24"/>
          <w:highlight w:val="none"/>
        </w:rPr>
        <w:t>竞争性磋商公告和磋商邀请</w:t>
      </w:r>
      <w:bookmarkEnd w:id="350"/>
      <w:r>
        <w:rPr>
          <w:rFonts w:hint="eastAsia" w:ascii="宋体" w:hAnsi="宋体" w:eastAsia="宋体" w:cs="宋体"/>
          <w:color w:val="auto"/>
          <w:sz w:val="24"/>
          <w:highlight w:val="none"/>
        </w:rPr>
        <w:t>，我方兹宣布同意如下：</w:t>
      </w:r>
    </w:p>
    <w:p w14:paraId="4DFC823D">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rPr>
        <w:t>我方根据磋商文件的规定，严格履行合同的责任和义务,并保证于买方要求的日期内完成，并通过买方验收。</w:t>
      </w:r>
    </w:p>
    <w:p w14:paraId="779950C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2.我方已详细审核全部磋商文件，包括磋商文件附件及更正公告（如有），我方正式认可并遵守本次磋商文件，并对磋商文件各项条款、规定及要求均无异议。</w:t>
      </w:r>
    </w:p>
    <w:p w14:paraId="0BD7056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3.我方同意从磋商文件规定的磋商日期起遵循本磋商文件，并在磋商文件规定的磋商有效期之前均具有约束力。</w:t>
      </w:r>
    </w:p>
    <w:p w14:paraId="422953A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我方声明响应文件所提供的一切资料均真实无误、及时、有效，企业运营正常。由于我方提供资料不实而造成的责任和后果由我方承担。我方同意按照贵方提出的要求，提供与磋商有关的任何证据、数据或资料。</w:t>
      </w:r>
    </w:p>
    <w:p w14:paraId="15554433">
      <w:pPr>
        <w:spacing w:line="360" w:lineRule="auto"/>
        <w:ind w:firstLine="480" w:firstLineChars="200"/>
        <w:rPr>
          <w:rFonts w:ascii="宋体" w:hAnsi="宋体" w:eastAsia="宋体" w:cs="宋体"/>
          <w:color w:val="auto"/>
          <w:sz w:val="24"/>
          <w:highlight w:val="none"/>
        </w:rPr>
      </w:pPr>
    </w:p>
    <w:p w14:paraId="6797C7FC">
      <w:pPr>
        <w:spacing w:line="360" w:lineRule="auto"/>
        <w:ind w:firstLine="4800" w:firstLineChars="2000"/>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eastAsia="zh-CN"/>
        </w:rPr>
        <w:t>（盖单位公章）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28CF6EF8">
      <w:pPr>
        <w:spacing w:line="360" w:lineRule="auto"/>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458AE95B">
      <w:pPr>
        <w:widowControl/>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14:paraId="64EDE879">
      <w:pPr>
        <w:spacing w:line="360" w:lineRule="auto"/>
        <w:jc w:val="center"/>
        <w:outlineLvl w:val="1"/>
        <w:rPr>
          <w:rFonts w:ascii="宋体" w:hAnsi="宋体" w:eastAsia="宋体" w:cs="宋体"/>
          <w:b/>
          <w:color w:val="auto"/>
          <w:sz w:val="24"/>
          <w:highlight w:val="none"/>
        </w:rPr>
      </w:pPr>
      <w:bookmarkStart w:id="351" w:name="_Toc30515"/>
      <w:r>
        <w:rPr>
          <w:rFonts w:hint="eastAsia" w:ascii="宋体" w:hAnsi="宋体" w:eastAsia="宋体" w:cs="宋体"/>
          <w:b/>
          <w:color w:val="auto"/>
          <w:sz w:val="24"/>
          <w:highlight w:val="none"/>
        </w:rPr>
        <w:t>四、供应商资格声明书</w:t>
      </w:r>
      <w:bookmarkEnd w:id="351"/>
    </w:p>
    <w:p w14:paraId="0ABD7802">
      <w:pPr>
        <w:pStyle w:val="6"/>
        <w:spacing w:after="0" w:line="360" w:lineRule="auto"/>
        <w:jc w:val="center"/>
        <w:rPr>
          <w:rFonts w:ascii="宋体" w:hAnsi="宋体" w:eastAsia="宋体" w:cs="宋体"/>
          <w:color w:val="auto"/>
          <w:highlight w:val="none"/>
        </w:rPr>
      </w:pPr>
      <w:r>
        <w:rPr>
          <w:rFonts w:hint="eastAsia" w:ascii="宋体" w:hAnsi="宋体" w:eastAsia="宋体" w:cs="宋体"/>
          <w:color w:val="auto"/>
          <w:sz w:val="24"/>
          <w:highlight w:val="none"/>
        </w:rPr>
        <w:t>（联合体</w:t>
      </w:r>
      <w:r>
        <w:rPr>
          <w:rFonts w:hint="eastAsia" w:ascii="宋体" w:hAnsi="宋体" w:eastAsia="宋体" w:cs="宋体"/>
          <w:color w:val="auto"/>
          <w:sz w:val="24"/>
          <w:highlight w:val="none"/>
          <w:lang w:val="en-US"/>
        </w:rPr>
        <w:t>响应</w:t>
      </w:r>
      <w:r>
        <w:rPr>
          <w:rFonts w:hint="eastAsia" w:ascii="宋体" w:hAnsi="宋体" w:eastAsia="宋体" w:cs="宋体"/>
          <w:color w:val="auto"/>
          <w:sz w:val="24"/>
          <w:highlight w:val="none"/>
        </w:rPr>
        <w:t>的，联合体各成员单位均须提供）</w:t>
      </w:r>
    </w:p>
    <w:p w14:paraId="71B0B4F0">
      <w:pPr>
        <w:pStyle w:val="6"/>
        <w:spacing w:after="0" w:line="360" w:lineRule="auto"/>
        <w:rPr>
          <w:rFonts w:ascii="宋体" w:hAnsi="宋体" w:eastAsia="宋体" w:cs="宋体"/>
          <w:color w:val="auto"/>
          <w:highlight w:val="none"/>
          <w:lang w:val="en-US"/>
        </w:rPr>
      </w:pPr>
    </w:p>
    <w:p w14:paraId="09567B32">
      <w:pPr>
        <w:pStyle w:val="11"/>
        <w:spacing w:line="360" w:lineRule="auto"/>
        <w:rPr>
          <w:rFonts w:ascii="宋体" w:hAnsi="宋体" w:cs="宋体"/>
          <w:color w:val="auto"/>
          <w:sz w:val="24"/>
          <w:szCs w:val="24"/>
          <w:highlight w:val="none"/>
        </w:rPr>
      </w:pPr>
      <w:r>
        <w:rPr>
          <w:rFonts w:hint="eastAsia" w:ascii="宋体" w:hAnsi="宋体" w:cs="宋体"/>
          <w:color w:val="auto"/>
          <w:sz w:val="24"/>
          <w:highlight w:val="none"/>
        </w:rPr>
        <w:t>致：</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u w:val="none"/>
          <w:lang w:val="en-US" w:eastAsia="zh-CN"/>
        </w:rPr>
        <w:t>（</w:t>
      </w:r>
      <w:r>
        <w:rPr>
          <w:rFonts w:hint="default" w:ascii="Times New Roman" w:hAnsi="Times New Roman" w:cs="Times New Roman"/>
          <w:color w:val="auto"/>
          <w:sz w:val="24"/>
          <w:highlight w:val="none"/>
          <w:u w:val="none"/>
        </w:rPr>
        <w:t>采购人</w:t>
      </w:r>
      <w:r>
        <w:rPr>
          <w:rFonts w:hint="eastAsia" w:ascii="Times New Roman" w:hAnsi="Times New Roman" w:cs="Times New Roman"/>
          <w:color w:val="auto"/>
          <w:sz w:val="24"/>
          <w:highlight w:val="none"/>
          <w:u w:val="none"/>
          <w:lang w:val="en-US" w:eastAsia="zh-CN"/>
        </w:rPr>
        <w:t>）</w:t>
      </w:r>
    </w:p>
    <w:p w14:paraId="31BEB739">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在参与本次项目磋商中，我单位承诺：</w:t>
      </w:r>
    </w:p>
    <w:p w14:paraId="13475FBC">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0A734233">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1DC9A9CC">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01FBF9CD">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41DB32E">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5453EC6E">
      <w:pPr>
        <w:widowControl/>
        <w:spacing w:line="360" w:lineRule="auto"/>
        <w:ind w:firstLine="480" w:firstLineChars="20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4530"/>
        <w:gridCol w:w="2698"/>
      </w:tblGrid>
      <w:tr w14:paraId="6E2F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tcPr>
          <w:p w14:paraId="2387966F">
            <w:pPr>
              <w:widowControl/>
              <w:spacing w:line="360" w:lineRule="auto"/>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序号</w:t>
            </w:r>
          </w:p>
        </w:tc>
        <w:tc>
          <w:tcPr>
            <w:tcW w:w="2468" w:type="pct"/>
          </w:tcPr>
          <w:p w14:paraId="6331D611">
            <w:pPr>
              <w:pStyle w:val="6"/>
              <w:spacing w:after="0" w:line="360" w:lineRule="auto"/>
              <w:jc w:val="center"/>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单位名称</w:t>
            </w:r>
          </w:p>
        </w:tc>
        <w:tc>
          <w:tcPr>
            <w:tcW w:w="1470" w:type="pct"/>
          </w:tcPr>
          <w:p w14:paraId="250C341B">
            <w:pPr>
              <w:pStyle w:val="6"/>
              <w:spacing w:after="0" w:line="360" w:lineRule="auto"/>
              <w:jc w:val="center"/>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相互关系</w:t>
            </w:r>
          </w:p>
        </w:tc>
      </w:tr>
      <w:tr w14:paraId="142F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tcPr>
          <w:p w14:paraId="2E8483EB">
            <w:pPr>
              <w:pStyle w:val="6"/>
              <w:spacing w:after="0" w:line="360" w:lineRule="auto"/>
              <w:jc w:val="center"/>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1</w:t>
            </w:r>
          </w:p>
        </w:tc>
        <w:tc>
          <w:tcPr>
            <w:tcW w:w="2468" w:type="pct"/>
          </w:tcPr>
          <w:p w14:paraId="576AF554">
            <w:pPr>
              <w:pStyle w:val="6"/>
              <w:spacing w:after="0" w:line="360" w:lineRule="auto"/>
              <w:jc w:val="center"/>
              <w:rPr>
                <w:rFonts w:ascii="宋体" w:hAnsi="宋体" w:eastAsia="宋体" w:cs="宋体"/>
                <w:color w:val="auto"/>
                <w:kern w:val="0"/>
                <w:sz w:val="24"/>
                <w:highlight w:val="none"/>
                <w:lang w:val="en-US" w:bidi="ar"/>
              </w:rPr>
            </w:pPr>
          </w:p>
        </w:tc>
        <w:tc>
          <w:tcPr>
            <w:tcW w:w="1470" w:type="pct"/>
          </w:tcPr>
          <w:p w14:paraId="2D094C03">
            <w:pPr>
              <w:pStyle w:val="6"/>
              <w:spacing w:after="0" w:line="360" w:lineRule="auto"/>
              <w:jc w:val="center"/>
              <w:rPr>
                <w:rFonts w:ascii="宋体" w:hAnsi="宋体" w:eastAsia="宋体" w:cs="宋体"/>
                <w:color w:val="auto"/>
                <w:kern w:val="0"/>
                <w:sz w:val="24"/>
                <w:highlight w:val="none"/>
                <w:lang w:val="en-US" w:bidi="ar"/>
              </w:rPr>
            </w:pPr>
          </w:p>
        </w:tc>
      </w:tr>
      <w:tr w14:paraId="7A9C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tcPr>
          <w:p w14:paraId="3DB72BA1">
            <w:pPr>
              <w:pStyle w:val="6"/>
              <w:spacing w:after="0" w:line="360" w:lineRule="auto"/>
              <w:jc w:val="center"/>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2</w:t>
            </w:r>
          </w:p>
        </w:tc>
        <w:tc>
          <w:tcPr>
            <w:tcW w:w="2468" w:type="pct"/>
          </w:tcPr>
          <w:p w14:paraId="6D8FF748">
            <w:pPr>
              <w:pStyle w:val="6"/>
              <w:spacing w:after="0" w:line="360" w:lineRule="auto"/>
              <w:jc w:val="center"/>
              <w:rPr>
                <w:rFonts w:ascii="宋体" w:hAnsi="宋体" w:eastAsia="宋体" w:cs="宋体"/>
                <w:color w:val="auto"/>
                <w:kern w:val="0"/>
                <w:sz w:val="24"/>
                <w:highlight w:val="none"/>
                <w:lang w:val="en-US" w:bidi="ar"/>
              </w:rPr>
            </w:pPr>
          </w:p>
        </w:tc>
        <w:tc>
          <w:tcPr>
            <w:tcW w:w="1470" w:type="pct"/>
          </w:tcPr>
          <w:p w14:paraId="0970DEAD">
            <w:pPr>
              <w:pStyle w:val="6"/>
              <w:spacing w:after="0" w:line="360" w:lineRule="auto"/>
              <w:jc w:val="center"/>
              <w:rPr>
                <w:rFonts w:ascii="宋体" w:hAnsi="宋体" w:eastAsia="宋体" w:cs="宋体"/>
                <w:color w:val="auto"/>
                <w:kern w:val="0"/>
                <w:sz w:val="24"/>
                <w:highlight w:val="none"/>
                <w:lang w:val="en-US" w:bidi="ar"/>
              </w:rPr>
            </w:pPr>
          </w:p>
        </w:tc>
      </w:tr>
    </w:tbl>
    <w:p w14:paraId="0C4612DE">
      <w:pPr>
        <w:widowControl/>
        <w:spacing w:line="360" w:lineRule="auto"/>
        <w:ind w:firstLine="480" w:firstLineChars="20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（七）我公司（包括联合体各成员）不存在下列情形之一：</w:t>
      </w:r>
    </w:p>
    <w:p w14:paraId="45108239">
      <w:pPr>
        <w:widowControl/>
        <w:spacing w:line="360" w:lineRule="auto"/>
        <w:ind w:firstLine="480" w:firstLineChars="20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（1）为本采购项目的采购代理机构；</w:t>
      </w:r>
    </w:p>
    <w:p w14:paraId="1CE1B59D">
      <w:pPr>
        <w:widowControl/>
        <w:spacing w:line="360" w:lineRule="auto"/>
        <w:ind w:firstLine="480" w:firstLineChars="20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（2）为采购人不具有独立法人资格的附属机构；</w:t>
      </w:r>
    </w:p>
    <w:p w14:paraId="77C76F46">
      <w:pPr>
        <w:widowControl/>
        <w:spacing w:line="360" w:lineRule="auto"/>
        <w:ind w:firstLine="480" w:firstLineChars="20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（3）与采购人存在利害关系且可能影响采购公正性；</w:t>
      </w:r>
    </w:p>
    <w:p w14:paraId="1C41742A">
      <w:pPr>
        <w:widowControl/>
        <w:spacing w:line="360" w:lineRule="auto"/>
        <w:ind w:firstLine="480" w:firstLineChars="20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（4）由本采购项目采购代理机构代理参加政府采购活动，或者接受过本采购项目的采购代理机构为本采购项目提供咨询的；</w:t>
      </w:r>
    </w:p>
    <w:p w14:paraId="1C3D2023">
      <w:pPr>
        <w:widowControl/>
        <w:spacing w:line="360" w:lineRule="auto"/>
        <w:ind w:firstLine="480" w:firstLineChars="20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（5）被责令停产停业、暂扣或者吊销许可证、暂扣或者吊销执照；</w:t>
      </w:r>
    </w:p>
    <w:p w14:paraId="52AF45EA">
      <w:pPr>
        <w:widowControl/>
        <w:spacing w:line="360" w:lineRule="auto"/>
        <w:ind w:firstLine="480" w:firstLineChars="20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（6）进入清算程序，或被宣告破产，或其他丧失履约能力的情形；</w:t>
      </w:r>
    </w:p>
    <w:p w14:paraId="5DC4682A">
      <w:pPr>
        <w:widowControl/>
        <w:spacing w:line="360" w:lineRule="auto"/>
        <w:ind w:firstLine="480" w:firstLineChars="20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（7）与本项目其他供应商的单位负责人为同一人或者存在直接控股、管理关系的不同供应商；</w:t>
      </w:r>
    </w:p>
    <w:p w14:paraId="4669F2EE">
      <w:pPr>
        <w:widowControl/>
        <w:spacing w:line="360" w:lineRule="auto"/>
        <w:ind w:firstLine="480" w:firstLineChars="20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（8）被依法禁止参加政府采购活动并在有效期内的；</w:t>
      </w:r>
    </w:p>
    <w:p w14:paraId="3F301729">
      <w:pPr>
        <w:widowControl/>
        <w:spacing w:line="360" w:lineRule="auto"/>
        <w:ind w:firstLine="480" w:firstLineChars="20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9）为采购项目提供整体设计、规范编制或者项目管理、监理、检测等服务的供应商，不得再参加该采购项目的其他采购活动，具体按《关于〈中华人民共和国政府采购法实施条例〉第十八条第二款法律适用的函》（财办库〔2015〕295号）文件规定；</w:t>
      </w:r>
    </w:p>
    <w:p w14:paraId="756483F8">
      <w:pPr>
        <w:widowControl/>
        <w:spacing w:line="360" w:lineRule="auto"/>
        <w:ind w:firstLine="480" w:firstLineChars="20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（10）被人民法院列入失信被执行人名单；</w:t>
      </w:r>
    </w:p>
    <w:p w14:paraId="50190802">
      <w:pPr>
        <w:widowControl/>
        <w:spacing w:line="360" w:lineRule="auto"/>
        <w:ind w:firstLine="480" w:firstLineChars="20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（11）被税务机关列入重大税收违法失信主体名单；</w:t>
      </w:r>
    </w:p>
    <w:p w14:paraId="447FDD2F">
      <w:pPr>
        <w:widowControl/>
        <w:spacing w:line="360" w:lineRule="auto"/>
        <w:ind w:firstLine="480" w:firstLineChars="20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（12）被财政部门列入政府采购严重违法失信行为记录名单；</w:t>
      </w:r>
    </w:p>
    <w:p w14:paraId="2F85962C">
      <w:pPr>
        <w:widowControl/>
        <w:spacing w:line="360" w:lineRule="auto"/>
        <w:ind w:firstLine="480" w:firstLineChars="20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（13）被市场监督管理部门列入严重违法失信名单；</w:t>
      </w:r>
    </w:p>
    <w:p w14:paraId="44B263FA">
      <w:pPr>
        <w:widowControl/>
        <w:spacing w:line="360" w:lineRule="auto"/>
        <w:ind w:firstLine="480" w:firstLineChars="20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（14）法律法规规定的其他情形；</w:t>
      </w:r>
    </w:p>
    <w:p w14:paraId="61260621">
      <w:pPr>
        <w:widowControl/>
        <w:spacing w:line="360" w:lineRule="auto"/>
        <w:ind w:firstLine="480" w:firstLineChars="20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（15）供应商须知前附表规定的其他情形。</w:t>
      </w:r>
    </w:p>
    <w:p w14:paraId="29B80351">
      <w:pPr>
        <w:spacing w:line="360" w:lineRule="auto"/>
        <w:ind w:firstLine="435"/>
        <w:rPr>
          <w:rFonts w:ascii="宋体" w:hAnsi="宋体" w:eastAsia="宋体" w:cs="宋体"/>
          <w:color w:val="auto"/>
          <w:sz w:val="24"/>
          <w:highlight w:val="none"/>
        </w:rPr>
      </w:pPr>
    </w:p>
    <w:p w14:paraId="5427D97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533A3024">
      <w:pPr>
        <w:spacing w:line="360" w:lineRule="auto"/>
        <w:ind w:firstLine="4800" w:firstLineChars="2000"/>
        <w:rPr>
          <w:rFonts w:ascii="宋体" w:hAnsi="宋体" w:eastAsia="宋体" w:cs="宋体"/>
          <w:color w:val="auto"/>
          <w:sz w:val="24"/>
          <w:highlight w:val="none"/>
          <w:u w:val="single"/>
        </w:rPr>
      </w:pPr>
      <w:r>
        <w:rPr>
          <w:rFonts w:hint="default" w:ascii="Times New Roman" w:hAnsi="Times New Roman" w:eastAsia="宋体" w:cs="Times New Roman"/>
          <w:color w:val="auto"/>
          <w:sz w:val="24"/>
          <w:highlight w:val="none"/>
        </w:rPr>
        <w:t>供应商</w:t>
      </w:r>
      <w:r>
        <w:rPr>
          <w:rFonts w:hint="default" w:ascii="Times New Roman" w:hAnsi="Times New Roman" w:eastAsia="宋体" w:cs="Times New Roman"/>
          <w:color w:val="auto"/>
          <w:sz w:val="24"/>
          <w:highlight w:val="none"/>
          <w:lang w:eastAsia="zh-CN"/>
        </w:rPr>
        <w:t>（盖单位公章）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1FB2757F">
      <w:pPr>
        <w:tabs>
          <w:tab w:val="left" w:pos="630"/>
        </w:tabs>
        <w:spacing w:line="360" w:lineRule="auto"/>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2FE27673">
      <w:pPr>
        <w:spacing w:line="360" w:lineRule="auto"/>
        <w:ind w:firstLine="4800" w:firstLineChars="2000"/>
        <w:rPr>
          <w:rFonts w:ascii="宋体" w:hAnsi="宋体" w:eastAsia="宋体" w:cs="宋体"/>
          <w:color w:val="auto"/>
          <w:sz w:val="24"/>
          <w:szCs w:val="24"/>
          <w:highlight w:val="none"/>
          <w:u w:val="single"/>
        </w:rPr>
      </w:pPr>
    </w:p>
    <w:p w14:paraId="46C9DD33">
      <w:pPr>
        <w:widowControl/>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14:paraId="75C8460F">
      <w:pPr>
        <w:spacing w:line="360" w:lineRule="auto"/>
        <w:jc w:val="center"/>
        <w:outlineLvl w:val="1"/>
        <w:rPr>
          <w:rFonts w:hint="default" w:ascii="Times New Roman" w:hAnsi="Times New Roman" w:eastAsia="宋体" w:cs="Times New Roman"/>
          <w:b/>
          <w:color w:val="auto"/>
          <w:sz w:val="24"/>
          <w:highlight w:val="none"/>
        </w:rPr>
      </w:pPr>
      <w:bookmarkStart w:id="352" w:name="_Toc29166"/>
      <w:r>
        <w:rPr>
          <w:rFonts w:hint="eastAsia" w:ascii="宋体" w:hAnsi="宋体" w:eastAsia="宋体" w:cs="宋体"/>
          <w:b/>
          <w:color w:val="auto"/>
          <w:sz w:val="24"/>
          <w:highlight w:val="none"/>
        </w:rPr>
        <w:t>五、</w:t>
      </w:r>
      <w:r>
        <w:rPr>
          <w:rFonts w:hint="eastAsia" w:asciiTheme="minorEastAsia" w:hAnsiTheme="minorEastAsia" w:eastAsiaTheme="minorEastAsia" w:cstheme="minorEastAsia"/>
          <w:b/>
          <w:color w:val="auto"/>
          <w:sz w:val="24"/>
          <w:highlight w:val="none"/>
        </w:rPr>
        <w:t>法定代表人身份证明或授权书</w:t>
      </w:r>
      <w:bookmarkEnd w:id="352"/>
    </w:p>
    <w:p w14:paraId="778F966E">
      <w:pPr>
        <w:pStyle w:val="10"/>
        <w:snapToGrid w:val="0"/>
        <w:spacing w:line="360" w:lineRule="auto"/>
        <w:ind w:firstLine="482" w:firstLineChars="200"/>
        <w:jc w:val="left"/>
        <w:rPr>
          <w:rFonts w:hint="default" w:ascii="Times New Roman" w:hAnsi="Times New Roman" w:eastAsia="宋体" w:cs="Times New Roman"/>
          <w:b/>
          <w:color w:val="auto"/>
          <w:sz w:val="24"/>
          <w:highlight w:val="none"/>
        </w:rPr>
      </w:pPr>
    </w:p>
    <w:p w14:paraId="18FBD510">
      <w:pPr>
        <w:pageBreakBefore w:val="0"/>
        <w:bidi w:val="0"/>
        <w:spacing w:line="360"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法定代表人身份证明</w:t>
      </w:r>
    </w:p>
    <w:p w14:paraId="0524A8F3">
      <w:pPr>
        <w:pageBreakBefore w:val="0"/>
        <w:bidi w:val="0"/>
        <w:spacing w:line="360" w:lineRule="auto"/>
        <w:ind w:left="765"/>
        <w:rPr>
          <w:rFonts w:hint="eastAsia" w:ascii="宋体" w:hAnsi="宋体" w:eastAsia="宋体" w:cs="宋体"/>
          <w:color w:val="auto"/>
          <w:sz w:val="24"/>
          <w:szCs w:val="24"/>
          <w:highlight w:val="none"/>
        </w:rPr>
      </w:pPr>
    </w:p>
    <w:p w14:paraId="653354DE">
      <w:pPr>
        <w:keepNext w:val="0"/>
        <w:keepLines w:val="0"/>
        <w:pageBreakBefore w:val="0"/>
        <w:widowControl w:val="0"/>
        <w:kinsoku/>
        <w:wordWrap/>
        <w:overflowPunct/>
        <w:topLinePunct w:val="0"/>
        <w:autoSpaceDE/>
        <w:autoSpaceDN/>
        <w:bidi w:val="0"/>
        <w:adjustRightInd/>
        <w:snapToGrid/>
        <w:spacing w:line="360" w:lineRule="auto"/>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ABE9334">
      <w:pPr>
        <w:keepNext w:val="0"/>
        <w:keepLines w:val="0"/>
        <w:pageBreakBefore w:val="0"/>
        <w:widowControl w:val="0"/>
        <w:kinsoku/>
        <w:wordWrap/>
        <w:overflowPunct/>
        <w:topLinePunct w:val="0"/>
        <w:autoSpaceDE/>
        <w:autoSpaceDN/>
        <w:bidi w:val="0"/>
        <w:adjustRightInd/>
        <w:snapToGrid/>
        <w:spacing w:line="360" w:lineRule="auto"/>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6A7D37F5">
      <w:pPr>
        <w:keepNext w:val="0"/>
        <w:keepLines w:val="0"/>
        <w:pageBreakBefore w:val="0"/>
        <w:widowControl w:val="0"/>
        <w:kinsoku/>
        <w:wordWrap/>
        <w:overflowPunct/>
        <w:topLinePunct w:val="0"/>
        <w:autoSpaceDE/>
        <w:autoSpaceDN/>
        <w:bidi w:val="0"/>
        <w:adjustRightInd/>
        <w:snapToGrid/>
        <w:spacing w:line="360" w:lineRule="auto"/>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5C5B17D3">
      <w:pPr>
        <w:keepNext w:val="0"/>
        <w:keepLines w:val="0"/>
        <w:pageBreakBefore w:val="0"/>
        <w:widowControl w:val="0"/>
        <w:kinsoku/>
        <w:wordWrap/>
        <w:overflowPunct/>
        <w:topLinePunct w:val="0"/>
        <w:autoSpaceDE/>
        <w:autoSpaceDN/>
        <w:bidi w:val="0"/>
        <w:adjustRightInd/>
        <w:snapToGrid/>
        <w:spacing w:line="360" w:lineRule="auto"/>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299EACD">
      <w:pPr>
        <w:keepNext w:val="0"/>
        <w:keepLines w:val="0"/>
        <w:pageBreakBefore w:val="0"/>
        <w:widowControl w:val="0"/>
        <w:kinsoku/>
        <w:wordWrap/>
        <w:overflowPunct/>
        <w:topLinePunct w:val="0"/>
        <w:autoSpaceDE/>
        <w:autoSpaceDN/>
        <w:bidi w:val="0"/>
        <w:adjustRightInd/>
        <w:snapToGrid/>
        <w:spacing w:line="360" w:lineRule="auto"/>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CE76C89">
      <w:pPr>
        <w:keepNext w:val="0"/>
        <w:keepLines w:val="0"/>
        <w:pageBreakBefore w:val="0"/>
        <w:widowControl w:val="0"/>
        <w:kinsoku/>
        <w:wordWrap/>
        <w:overflowPunct/>
        <w:topLinePunct w:val="0"/>
        <w:autoSpaceDE/>
        <w:autoSpaceDN/>
        <w:bidi w:val="0"/>
        <w:adjustRightInd/>
        <w:snapToGrid/>
        <w:spacing w:line="360" w:lineRule="auto"/>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14:paraId="56FAB034">
      <w:pPr>
        <w:keepNext w:val="0"/>
        <w:keepLines w:val="0"/>
        <w:pageBreakBefore w:val="0"/>
        <w:widowControl w:val="0"/>
        <w:kinsoku/>
        <w:wordWrap/>
        <w:overflowPunct/>
        <w:topLinePunct w:val="0"/>
        <w:autoSpaceDE/>
        <w:autoSpaceDN/>
        <w:bidi w:val="0"/>
        <w:adjustRightInd/>
        <w:snapToGrid/>
        <w:spacing w:line="360" w:lineRule="auto"/>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14:paraId="78B4F9AB">
      <w:pPr>
        <w:keepNext w:val="0"/>
        <w:keepLines w:val="0"/>
        <w:pageBreakBefore w:val="0"/>
        <w:widowControl w:val="0"/>
        <w:kinsoku/>
        <w:wordWrap/>
        <w:overflowPunct/>
        <w:topLinePunct w:val="0"/>
        <w:autoSpaceDE/>
        <w:autoSpaceDN/>
        <w:bidi w:val="0"/>
        <w:adjustRightInd/>
        <w:snapToGrid/>
        <w:spacing w:line="360" w:lineRule="auto"/>
        <w:ind w:firstLine="1440" w:firstLineChars="600"/>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8"/>
          <w:highlight w:val="none"/>
        </w:rPr>
        <w:t>联系方式：</w:t>
      </w:r>
      <w:r>
        <w:rPr>
          <w:rFonts w:hint="eastAsia" w:asciiTheme="minorEastAsia" w:hAnsiTheme="minorEastAsia" w:eastAsiaTheme="minorEastAsia" w:cstheme="minorEastAsia"/>
          <w:color w:val="auto"/>
          <w:sz w:val="24"/>
          <w:szCs w:val="28"/>
          <w:highlight w:val="none"/>
          <w:u w:val="single"/>
        </w:rPr>
        <w:t xml:space="preserve">       </w:t>
      </w:r>
      <w:r>
        <w:rPr>
          <w:rFonts w:hint="eastAsia" w:asciiTheme="minorEastAsia" w:hAnsiTheme="minorEastAsia" w:eastAsiaTheme="minorEastAsia" w:cstheme="minorEastAsia"/>
          <w:color w:val="auto"/>
          <w:sz w:val="24"/>
          <w:szCs w:val="28"/>
          <w:highlight w:val="none"/>
          <w:u w:val="single"/>
          <w:lang w:val="en-US" w:eastAsia="zh-CN"/>
        </w:rPr>
        <w:t xml:space="preserve">   </w:t>
      </w:r>
      <w:r>
        <w:rPr>
          <w:rFonts w:hint="eastAsia" w:asciiTheme="minorEastAsia" w:hAnsiTheme="minorEastAsia" w:eastAsiaTheme="minorEastAsia" w:cstheme="minorEastAsia"/>
          <w:color w:val="auto"/>
          <w:sz w:val="24"/>
          <w:szCs w:val="28"/>
          <w:highlight w:val="none"/>
          <w:u w:val="single"/>
        </w:rPr>
        <w:t xml:space="preserve">   （请填写手机号码）</w:t>
      </w:r>
    </w:p>
    <w:p w14:paraId="414C8335">
      <w:pPr>
        <w:keepNext w:val="0"/>
        <w:keepLines w:val="0"/>
        <w:pageBreakBefore w:val="0"/>
        <w:widowControl w:val="0"/>
        <w:kinsoku/>
        <w:wordWrap/>
        <w:overflowPunct/>
        <w:topLinePunct w:val="0"/>
        <w:autoSpaceDE/>
        <w:autoSpaceDN/>
        <w:bidi w:val="0"/>
        <w:adjustRightInd/>
        <w:snapToGrid/>
        <w:spacing w:line="360" w:lineRule="auto"/>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名称）的法定代表人。</w:t>
      </w:r>
    </w:p>
    <w:p w14:paraId="200B371C">
      <w:pPr>
        <w:keepNext w:val="0"/>
        <w:keepLines w:val="0"/>
        <w:pageBreakBefore w:val="0"/>
        <w:widowControl w:val="0"/>
        <w:kinsoku/>
        <w:wordWrap/>
        <w:overflowPunct/>
        <w:topLinePunct w:val="0"/>
        <w:autoSpaceDE/>
        <w:autoSpaceDN/>
        <w:bidi w:val="0"/>
        <w:adjustRightInd/>
        <w:snapToGrid/>
        <w:spacing w:line="360" w:lineRule="auto"/>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DAD5B8C">
      <w:pPr>
        <w:pageBreakBefore w:val="0"/>
        <w:bidi w:val="0"/>
        <w:spacing w:line="360" w:lineRule="auto"/>
        <w:rPr>
          <w:rFonts w:hint="eastAsia" w:ascii="宋体" w:hAnsi="宋体" w:eastAsia="宋体" w:cs="宋体"/>
          <w:color w:val="auto"/>
          <w:sz w:val="24"/>
          <w:szCs w:val="24"/>
          <w:highlight w:val="none"/>
        </w:rPr>
      </w:pPr>
    </w:p>
    <w:p w14:paraId="3AFE2A10">
      <w:pPr>
        <w:pageBreakBefore w:val="0"/>
        <w:bidi w:val="0"/>
        <w:spacing w:line="360" w:lineRule="auto"/>
        <w:rPr>
          <w:rFonts w:hint="eastAsia" w:ascii="宋体" w:hAnsi="宋体" w:eastAsia="宋体" w:cs="宋体"/>
          <w:color w:val="auto"/>
          <w:sz w:val="24"/>
          <w:szCs w:val="24"/>
          <w:highlight w:val="none"/>
        </w:rPr>
      </w:pPr>
    </w:p>
    <w:p w14:paraId="1A56694F">
      <w:pPr>
        <w:pageBreakBefore w:val="0"/>
        <w:kinsoku/>
        <w:overflowPunct/>
        <w:topLinePunct w:val="0"/>
        <w:bidi w:val="0"/>
        <w:spacing w:line="360" w:lineRule="auto"/>
        <w:ind w:left="0" w:leftChars="0" w:right="0" w:rightChars="0" w:firstLine="4800" w:firstLineChars="2000"/>
        <w:rPr>
          <w:rFonts w:hint="eastAsia" w:asciiTheme="minorEastAsia" w:hAnsiTheme="minorEastAsia" w:eastAsiaTheme="minorEastAsia" w:cstheme="minorEastAsia"/>
          <w:color w:val="auto"/>
          <w:sz w:val="24"/>
          <w:highlight w:val="none"/>
        </w:rPr>
      </w:pPr>
    </w:p>
    <w:p w14:paraId="22DF06BC">
      <w:pPr>
        <w:spacing w:line="360" w:lineRule="auto"/>
        <w:ind w:left="4620" w:leftChars="0" w:firstLine="420" w:firstLineChars="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供应商</w:t>
      </w:r>
      <w:r>
        <w:rPr>
          <w:rFonts w:hint="default" w:ascii="Times New Roman" w:hAnsi="Times New Roman" w:eastAsia="宋体" w:cs="Times New Roman"/>
          <w:color w:val="auto"/>
          <w:sz w:val="24"/>
          <w:highlight w:val="none"/>
          <w:lang w:val="en-US" w:eastAsia="zh-CN"/>
        </w:rPr>
        <w:t>（盖单位公章）</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u w:val="single"/>
        </w:rPr>
        <w:t xml:space="preserve">             </w:t>
      </w:r>
    </w:p>
    <w:p w14:paraId="45995D1E">
      <w:pPr>
        <w:pageBreakBefore w:val="0"/>
        <w:tabs>
          <w:tab w:val="left" w:pos="630"/>
        </w:tabs>
        <w:kinsoku/>
        <w:overflowPunct/>
        <w:topLinePunct w:val="0"/>
        <w:bidi w:val="0"/>
        <w:spacing w:line="360" w:lineRule="auto"/>
        <w:ind w:left="4620" w:leftChars="0" w:right="0" w:rightChars="0" w:firstLine="420" w:firstLineChars="0"/>
        <w:rPr>
          <w:rFonts w:hint="eastAsia" w:asciiTheme="minorEastAsia" w:hAnsiTheme="minorEastAsia" w:eastAsiaTheme="minorEastAsia" w:cstheme="minorEastAsia"/>
          <w:color w:val="auto"/>
          <w:sz w:val="24"/>
          <w:highlight w:val="none"/>
        </w:rPr>
      </w:pPr>
      <w:r>
        <w:rPr>
          <w:rFonts w:hint="default" w:ascii="Times New Roman" w:hAnsi="Times New Roman" w:eastAsia="宋体" w:cs="Times New Roman"/>
          <w:color w:val="auto"/>
          <w:sz w:val="24"/>
          <w:highlight w:val="none"/>
        </w:rPr>
        <w:t>日          期：</w:t>
      </w:r>
      <w:r>
        <w:rPr>
          <w:rFonts w:hint="default" w:ascii="Times New Roman" w:hAnsi="Times New Roman" w:eastAsia="宋体" w:cs="Times New Roman"/>
          <w:color w:val="auto"/>
          <w:sz w:val="24"/>
          <w:highlight w:val="none"/>
          <w:u w:val="single"/>
        </w:rPr>
        <w:t xml:space="preserve">             </w:t>
      </w:r>
    </w:p>
    <w:p w14:paraId="4121F4F0">
      <w:pPr>
        <w:keepNext w:val="0"/>
        <w:keepLines w:val="0"/>
        <w:pageBreakBefore w:val="0"/>
        <w:widowControl w:val="0"/>
        <w:kinsoku/>
        <w:wordWrap w:val="0"/>
        <w:overflowPunct w:val="0"/>
        <w:topLinePunct w:val="0"/>
        <w:autoSpaceDE/>
        <w:autoSpaceDN/>
        <w:bidi w:val="0"/>
        <w:adjustRightInd/>
        <w:snapToGrid w:val="0"/>
        <w:spacing w:before="78" w:line="360" w:lineRule="auto"/>
        <w:rPr>
          <w:rFonts w:hint="eastAsia" w:ascii="宋体" w:hAnsi="宋体" w:eastAsia="宋体" w:cs="宋体"/>
          <w:b/>
          <w:bCs/>
          <w:color w:val="auto"/>
          <w:spacing w:val="-4"/>
          <w:sz w:val="28"/>
          <w:szCs w:val="28"/>
          <w:highlight w:val="none"/>
        </w:rPr>
      </w:pPr>
    </w:p>
    <w:p w14:paraId="17CCAC25">
      <w:pPr>
        <w:pageBreakBefore w:val="0"/>
        <w:kinsoku/>
        <w:overflowPunct/>
        <w:topLinePunct w:val="0"/>
        <w:bidi w:val="0"/>
        <w:spacing w:line="360" w:lineRule="auto"/>
        <w:ind w:left="0" w:leftChars="0" w:right="0" w:rightChars="0" w:firstLine="435"/>
        <w:rPr>
          <w:rFonts w:hint="eastAsia" w:asciiTheme="minorEastAsia" w:hAnsiTheme="minorEastAsia" w:eastAsiaTheme="minorEastAsia" w:cstheme="minorEastAsia"/>
          <w:b/>
          <w:bCs/>
          <w:color w:val="auto"/>
          <w:sz w:val="24"/>
          <w:szCs w:val="28"/>
          <w:highlight w:val="none"/>
          <w:lang w:eastAsia="zh-CN"/>
        </w:rPr>
      </w:pPr>
      <w:r>
        <w:rPr>
          <w:rFonts w:hint="eastAsia" w:asciiTheme="minorEastAsia" w:hAnsiTheme="minorEastAsia" w:eastAsiaTheme="minorEastAsia" w:cstheme="minorEastAsia"/>
          <w:b/>
          <w:bCs/>
          <w:color w:val="auto"/>
          <w:sz w:val="24"/>
          <w:szCs w:val="28"/>
          <w:highlight w:val="none"/>
        </w:rPr>
        <w:t>附：法定代表人身份证</w:t>
      </w:r>
      <w:r>
        <w:rPr>
          <w:rFonts w:hint="eastAsia" w:asciiTheme="minorEastAsia" w:hAnsiTheme="minorEastAsia" w:eastAsiaTheme="minorEastAsia" w:cstheme="minorEastAsia"/>
          <w:b/>
          <w:bCs/>
          <w:color w:val="auto"/>
          <w:sz w:val="24"/>
          <w:szCs w:val="28"/>
          <w:highlight w:val="none"/>
          <w:lang w:eastAsia="zh-CN"/>
        </w:rPr>
        <w:t>复制件</w:t>
      </w:r>
    </w:p>
    <w:p w14:paraId="3AA94734">
      <w:pPr>
        <w:pageBreakBefore w:val="0"/>
        <w:kinsoku/>
        <w:overflowPunct/>
        <w:topLinePunct w:val="0"/>
        <w:bidi w:val="0"/>
        <w:spacing w:line="360" w:lineRule="auto"/>
        <w:ind w:left="0" w:leftChars="0" w:right="0" w:rightChars="0" w:firstLine="435"/>
        <w:rPr>
          <w:rFonts w:hint="eastAsia" w:asciiTheme="minorEastAsia" w:hAnsiTheme="minorEastAsia" w:eastAsiaTheme="minorEastAsia" w:cstheme="minorEastAsia"/>
          <w:b/>
          <w:bCs/>
          <w:color w:val="auto"/>
          <w:sz w:val="24"/>
          <w:szCs w:val="28"/>
          <w:highlight w:val="none"/>
        </w:rPr>
        <w:sectPr>
          <w:footerReference r:id="rId6" w:type="default"/>
          <w:footnotePr>
            <w:numFmt w:val="decimalEnclosedCircleChinese"/>
            <w:numRestart w:val="eachPage"/>
          </w:footnotePr>
          <w:pgSz w:w="11907" w:h="16840"/>
          <w:pgMar w:top="1474" w:right="1474" w:bottom="1474" w:left="1474" w:header="0" w:footer="1149" w:gutter="0"/>
          <w:pgNumType w:fmt="decimal" w:start="1"/>
          <w:cols w:space="0" w:num="1"/>
          <w:rtlGutter w:val="0"/>
          <w:docGrid w:linePitch="0" w:charSpace="0"/>
        </w:sectPr>
      </w:pPr>
    </w:p>
    <w:p w14:paraId="4C1A4CF7">
      <w:pPr>
        <w:pageBreakBefore w:val="0"/>
        <w:bidi w:val="0"/>
        <w:spacing w:line="360" w:lineRule="auto"/>
        <w:jc w:val="center"/>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授权书</w:t>
      </w:r>
    </w:p>
    <w:p w14:paraId="073F5CF0">
      <w:pPr>
        <w:pStyle w:val="10"/>
        <w:snapToGrid w:val="0"/>
        <w:spacing w:line="360" w:lineRule="auto"/>
        <w:ind w:firstLine="480" w:firstLineChars="200"/>
        <w:jc w:val="left"/>
        <w:rPr>
          <w:rFonts w:hint="default" w:ascii="Times New Roman" w:hAnsi="Times New Roman" w:eastAsia="宋体" w:cs="Times New Roman"/>
          <w:color w:val="auto"/>
          <w:sz w:val="24"/>
          <w:szCs w:val="28"/>
          <w:highlight w:val="none"/>
        </w:rPr>
      </w:pPr>
    </w:p>
    <w:p w14:paraId="727CEDC2">
      <w:pPr>
        <w:spacing w:before="74" w:line="330" w:lineRule="auto"/>
        <w:ind w:firstLine="647"/>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本授权书声明：</w:t>
      </w:r>
      <w:r>
        <w:rPr>
          <w:rFonts w:hint="eastAsia" w:asciiTheme="minorEastAsia" w:hAnsiTheme="minorEastAsia" w:eastAsiaTheme="minorEastAsia" w:cstheme="minorEastAsia"/>
          <w:spacing w:val="2"/>
          <w:sz w:val="24"/>
          <w:szCs w:val="24"/>
          <w:highlight w:val="none"/>
          <w:u w:val="single" w:color="auto"/>
        </w:rPr>
        <w:t xml:space="preserve">           </w:t>
      </w:r>
      <w:r>
        <w:rPr>
          <w:rFonts w:hint="eastAsia" w:asciiTheme="minorEastAsia" w:hAnsiTheme="minorEastAsia" w:eastAsiaTheme="minorEastAsia" w:cstheme="minorEastAsia"/>
          <w:spacing w:val="-4"/>
          <w:sz w:val="24"/>
          <w:szCs w:val="24"/>
          <w:highlight w:val="none"/>
        </w:rPr>
        <w:t>公司（工厂</w:t>
      </w:r>
      <w:r>
        <w:rPr>
          <w:rFonts w:hint="eastAsia" w:asciiTheme="minorEastAsia" w:hAnsiTheme="minorEastAsia" w:eastAsiaTheme="minorEastAsia" w:cstheme="minorEastAsia"/>
          <w:spacing w:val="-7"/>
          <w:sz w:val="24"/>
          <w:szCs w:val="24"/>
          <w:highlight w:val="none"/>
        </w:rPr>
        <w:t>）（</w:t>
      </w:r>
      <w:r>
        <w:rPr>
          <w:rFonts w:hint="eastAsia" w:asciiTheme="minorEastAsia" w:hAnsiTheme="minorEastAsia" w:eastAsiaTheme="minorEastAsia" w:cstheme="minorEastAsia"/>
          <w:spacing w:val="-4"/>
          <w:sz w:val="24"/>
          <w:szCs w:val="24"/>
          <w:highlight w:val="none"/>
        </w:rPr>
        <w:t>纳税人识别号</w:t>
      </w:r>
      <w:r>
        <w:rPr>
          <w:rFonts w:hint="eastAsia" w:asciiTheme="minorEastAsia" w:hAnsiTheme="minorEastAsia" w:eastAsiaTheme="minorEastAsia" w:cstheme="minorEastAsia"/>
          <w:spacing w:val="-7"/>
          <w:sz w:val="24"/>
          <w:szCs w:val="24"/>
          <w:highlight w:val="none"/>
        </w:rPr>
        <w:t>：</w:t>
      </w:r>
      <w:r>
        <w:rPr>
          <w:rFonts w:hint="eastAsia" w:asciiTheme="minorEastAsia" w:hAnsiTheme="minorEastAsia" w:eastAsiaTheme="minorEastAsia" w:cstheme="minorEastAsia"/>
          <w:spacing w:val="13"/>
          <w:sz w:val="24"/>
          <w:szCs w:val="24"/>
          <w:highlight w:val="none"/>
          <w:u w:val="single" w:color="auto"/>
        </w:rPr>
        <w:t xml:space="preserve">   </w:t>
      </w:r>
      <w:r>
        <w:rPr>
          <w:rFonts w:hint="eastAsia" w:asciiTheme="minorEastAsia" w:hAnsiTheme="minorEastAsia" w:eastAsiaTheme="minorEastAsia" w:cstheme="minorEastAsia"/>
          <w:spacing w:val="-7"/>
          <w:sz w:val="24"/>
          <w:szCs w:val="24"/>
          <w:highlight w:val="none"/>
        </w:rPr>
        <w:t>）</w:t>
      </w:r>
      <w:r>
        <w:rPr>
          <w:rFonts w:hint="eastAsia" w:asciiTheme="minorEastAsia" w:hAnsiTheme="minorEastAsia" w:eastAsiaTheme="minorEastAsia" w:cstheme="minorEastAsia"/>
          <w:spacing w:val="-4"/>
          <w:sz w:val="24"/>
          <w:szCs w:val="24"/>
          <w:highlight w:val="none"/>
        </w:rPr>
        <w:t>的</w:t>
      </w:r>
      <w:r>
        <w:rPr>
          <w:rFonts w:hint="eastAsia" w:asciiTheme="minorEastAsia" w:hAnsiTheme="minorEastAsia" w:eastAsiaTheme="minorEastAsia" w:cstheme="minorEastAsia"/>
          <w:spacing w:val="-12"/>
          <w:sz w:val="24"/>
          <w:szCs w:val="24"/>
          <w:highlight w:val="none"/>
          <w:u w:val="single" w:color="auto"/>
        </w:rPr>
        <w:t xml:space="preserve">        </w:t>
      </w:r>
      <w:r>
        <w:rPr>
          <w:rFonts w:hint="eastAsia" w:asciiTheme="minorEastAsia" w:hAnsiTheme="minorEastAsia" w:eastAsiaTheme="minorEastAsia" w:cstheme="minorEastAsia"/>
          <w:spacing w:val="-4"/>
          <w:sz w:val="24"/>
          <w:szCs w:val="24"/>
          <w:highlight w:val="none"/>
        </w:rPr>
        <w:t>（法人代表姓</w:t>
      </w:r>
      <w:r>
        <w:rPr>
          <w:rFonts w:hint="eastAsia" w:asciiTheme="minorEastAsia" w:hAnsiTheme="minorEastAsia" w:eastAsiaTheme="minorEastAsia" w:cstheme="minorEastAsia"/>
          <w:spacing w:val="25"/>
          <w:sz w:val="24"/>
          <w:szCs w:val="24"/>
          <w:highlight w:val="none"/>
        </w:rPr>
        <w:t xml:space="preserve"> </w:t>
      </w:r>
      <w:r>
        <w:rPr>
          <w:rFonts w:hint="eastAsia" w:asciiTheme="minorEastAsia" w:hAnsiTheme="minorEastAsia" w:eastAsiaTheme="minorEastAsia" w:cstheme="minorEastAsia"/>
          <w:spacing w:val="-2"/>
          <w:sz w:val="24"/>
          <w:szCs w:val="24"/>
          <w:highlight w:val="none"/>
        </w:rPr>
        <w:t>名、职务）代表本公司（工厂）</w:t>
      </w:r>
      <w:r>
        <w:rPr>
          <w:rFonts w:hint="eastAsia" w:asciiTheme="minorEastAsia" w:hAnsiTheme="minorEastAsia" w:eastAsiaTheme="minorEastAsia" w:cstheme="minorEastAsia"/>
          <w:spacing w:val="-94"/>
          <w:sz w:val="24"/>
          <w:szCs w:val="24"/>
          <w:highlight w:val="none"/>
        </w:rPr>
        <w:t xml:space="preserve"> </w:t>
      </w:r>
      <w:r>
        <w:rPr>
          <w:rFonts w:hint="eastAsia" w:asciiTheme="minorEastAsia" w:hAnsiTheme="minorEastAsia" w:eastAsiaTheme="minorEastAsia" w:cstheme="minorEastAsia"/>
          <w:spacing w:val="-2"/>
          <w:sz w:val="24"/>
          <w:szCs w:val="24"/>
          <w:highlight w:val="none"/>
        </w:rPr>
        <w:t>授权本公司（工厂</w:t>
      </w:r>
      <w:r>
        <w:rPr>
          <w:rFonts w:hint="eastAsia" w:asciiTheme="minorEastAsia" w:hAnsiTheme="minorEastAsia" w:eastAsiaTheme="minorEastAsia" w:cstheme="minorEastAsia"/>
          <w:spacing w:val="-4"/>
          <w:sz w:val="24"/>
          <w:szCs w:val="24"/>
          <w:highlight w:val="none"/>
        </w:rPr>
        <w:t>）</w:t>
      </w:r>
      <w:r>
        <w:rPr>
          <w:rFonts w:hint="eastAsia" w:asciiTheme="minorEastAsia" w:hAnsiTheme="minorEastAsia" w:eastAsiaTheme="minorEastAsia" w:cstheme="minorEastAsia"/>
          <w:spacing w:val="3"/>
          <w:sz w:val="24"/>
          <w:szCs w:val="24"/>
          <w:highlight w:val="none"/>
          <w:u w:val="single" w:color="auto"/>
        </w:rPr>
        <w:t xml:space="preserve">         </w:t>
      </w:r>
      <w:r>
        <w:rPr>
          <w:rFonts w:hint="eastAsia" w:asciiTheme="minorEastAsia" w:hAnsiTheme="minorEastAsia" w:eastAsiaTheme="minorEastAsia" w:cstheme="minorEastAsia"/>
          <w:spacing w:val="-4"/>
          <w:sz w:val="24"/>
          <w:szCs w:val="24"/>
          <w:highlight w:val="none"/>
        </w:rPr>
        <w:t>（</w:t>
      </w:r>
      <w:r>
        <w:rPr>
          <w:rFonts w:hint="eastAsia" w:asciiTheme="minorEastAsia" w:hAnsiTheme="minorEastAsia" w:eastAsiaTheme="minorEastAsia" w:cstheme="minorEastAsia"/>
          <w:spacing w:val="-2"/>
          <w:sz w:val="24"/>
          <w:szCs w:val="24"/>
          <w:highlight w:val="none"/>
        </w:rPr>
        <w:t>被授权人的姓名、职务）为本公</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12"/>
          <w:sz w:val="24"/>
          <w:szCs w:val="24"/>
          <w:highlight w:val="none"/>
        </w:rPr>
        <w:t>司（工厂）的合法代理人，参加</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2"/>
          <w:sz w:val="24"/>
          <w:szCs w:val="24"/>
          <w:highlight w:val="none"/>
        </w:rPr>
        <w:t>采购项目活动（项目编号</w:t>
      </w:r>
      <w:r>
        <w:rPr>
          <w:rFonts w:hint="eastAsia" w:asciiTheme="minorEastAsia" w:hAnsiTheme="minorEastAsia" w:eastAsiaTheme="minorEastAsia" w:cstheme="minorEastAsia"/>
          <w:spacing w:val="-72"/>
          <w:sz w:val="24"/>
          <w:szCs w:val="24"/>
          <w:highlight w:val="none"/>
          <w:u w:val="single" w:color="auto"/>
        </w:rPr>
        <w:t xml:space="preserve"> </w:t>
      </w:r>
      <w:r>
        <w:rPr>
          <w:rFonts w:hint="eastAsia" w:asciiTheme="minorEastAsia" w:hAnsiTheme="minorEastAsia" w:eastAsiaTheme="minorEastAsia" w:cstheme="minorEastAsia"/>
          <w:spacing w:val="-28"/>
          <w:sz w:val="24"/>
          <w:szCs w:val="24"/>
          <w:highlight w:val="none"/>
          <w:u w:val="single" w:color="auto"/>
        </w:rPr>
        <w:t>：</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85"/>
          <w:sz w:val="24"/>
          <w:szCs w:val="24"/>
          <w:highlight w:val="none"/>
        </w:rPr>
        <w:t xml:space="preserve"> </w:t>
      </w:r>
      <w:r>
        <w:rPr>
          <w:rFonts w:hint="eastAsia" w:asciiTheme="minorEastAsia" w:hAnsiTheme="minorEastAsia" w:eastAsiaTheme="minorEastAsia" w:cstheme="minorEastAsia"/>
          <w:spacing w:val="1"/>
          <w:sz w:val="24"/>
          <w:szCs w:val="24"/>
          <w:highlight w:val="none"/>
        </w:rPr>
        <w:t>全权代表本公司处理磋商过程的一切事宜，包括但不限于：磋商、签约等。供应商代表在磋商过</w:t>
      </w:r>
      <w:r>
        <w:rPr>
          <w:rFonts w:hint="eastAsia" w:asciiTheme="minorEastAsia" w:hAnsiTheme="minorEastAsia" w:eastAsiaTheme="minorEastAsia" w:cstheme="minorEastAsia"/>
          <w:spacing w:val="47"/>
          <w:sz w:val="24"/>
          <w:szCs w:val="24"/>
          <w:highlight w:val="none"/>
        </w:rPr>
        <w:t xml:space="preserve"> </w:t>
      </w:r>
      <w:r>
        <w:rPr>
          <w:rFonts w:hint="eastAsia" w:asciiTheme="minorEastAsia" w:hAnsiTheme="minorEastAsia" w:eastAsiaTheme="minorEastAsia" w:cstheme="minorEastAsia"/>
          <w:spacing w:val="1"/>
          <w:sz w:val="24"/>
          <w:szCs w:val="24"/>
          <w:highlight w:val="none"/>
        </w:rPr>
        <w:t>程中所签署的一切文件和处理与之有关的一切事务，本公司均予以认可并对此承担责任。被授权</w:t>
      </w:r>
      <w:r>
        <w:rPr>
          <w:rFonts w:hint="eastAsia" w:asciiTheme="minorEastAsia" w:hAnsiTheme="minorEastAsia" w:eastAsiaTheme="minorEastAsia" w:cstheme="minorEastAsia"/>
          <w:spacing w:val="47"/>
          <w:sz w:val="24"/>
          <w:szCs w:val="24"/>
          <w:highlight w:val="none"/>
        </w:rPr>
        <w:t xml:space="preserve"> </w:t>
      </w:r>
      <w:r>
        <w:rPr>
          <w:rFonts w:hint="eastAsia" w:asciiTheme="minorEastAsia" w:hAnsiTheme="minorEastAsia" w:eastAsiaTheme="minorEastAsia" w:cstheme="minorEastAsia"/>
          <w:spacing w:val="-1"/>
          <w:sz w:val="24"/>
          <w:szCs w:val="24"/>
          <w:highlight w:val="none"/>
        </w:rPr>
        <w:t>人无转委托权。特此授权。</w:t>
      </w:r>
    </w:p>
    <w:p w14:paraId="286DBC72">
      <w:pPr>
        <w:spacing w:before="196" w:line="408" w:lineRule="exact"/>
        <w:ind w:firstLine="647"/>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position w:val="14"/>
          <w:sz w:val="24"/>
          <w:szCs w:val="24"/>
          <w:highlight w:val="none"/>
        </w:rPr>
        <w:t>本授权书自出具之日起生效。</w:t>
      </w:r>
    </w:p>
    <w:p w14:paraId="4B43F47E">
      <w:pPr>
        <w:spacing w:line="204" w:lineRule="auto"/>
        <w:ind w:firstLine="646"/>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特此声明。</w:t>
      </w:r>
    </w:p>
    <w:p w14:paraId="2D325855">
      <w:pPr>
        <w:spacing w:line="240" w:lineRule="auto"/>
        <w:jc w:val="left"/>
        <w:rPr>
          <w:rFonts w:hint="eastAsia" w:asciiTheme="minorEastAsia" w:hAnsiTheme="minorEastAsia" w:eastAsiaTheme="minorEastAsia" w:cstheme="minorEastAsia"/>
          <w:sz w:val="24"/>
          <w:szCs w:val="24"/>
          <w:highlight w:val="none"/>
        </w:rPr>
      </w:pPr>
    </w:p>
    <w:p w14:paraId="229FEF4E">
      <w:pPr>
        <w:spacing w:line="240" w:lineRule="auto"/>
        <w:jc w:val="left"/>
        <w:rPr>
          <w:rFonts w:hint="eastAsia" w:asciiTheme="minorEastAsia" w:hAnsiTheme="minorEastAsia" w:eastAsiaTheme="minorEastAsia" w:cstheme="minorEastAsia"/>
          <w:sz w:val="24"/>
          <w:szCs w:val="24"/>
          <w:highlight w:val="none"/>
        </w:rPr>
      </w:pPr>
    </w:p>
    <w:p w14:paraId="4C293DBD">
      <w:pPr>
        <w:spacing w:before="102" w:line="407" w:lineRule="exact"/>
        <w:ind w:firstLine="647"/>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position w:val="14"/>
          <w:sz w:val="24"/>
          <w:szCs w:val="24"/>
          <w:highlight w:val="none"/>
        </w:rPr>
        <w:t>法定代表人联系方式</w:t>
      </w:r>
      <w:r>
        <w:rPr>
          <w:rFonts w:hint="eastAsia" w:asciiTheme="minorEastAsia" w:hAnsiTheme="minorEastAsia" w:eastAsiaTheme="minorEastAsia" w:cstheme="minorEastAsia"/>
          <w:spacing w:val="-81"/>
          <w:position w:val="14"/>
          <w:sz w:val="24"/>
          <w:szCs w:val="24"/>
          <w:highlight w:val="none"/>
        </w:rPr>
        <w:t xml:space="preserve"> </w:t>
      </w:r>
      <w:r>
        <w:rPr>
          <w:rFonts w:hint="eastAsia" w:asciiTheme="minorEastAsia" w:hAnsiTheme="minorEastAsia" w:eastAsiaTheme="minorEastAsia" w:cstheme="minorEastAsia"/>
          <w:spacing w:val="-61"/>
          <w:position w:val="14"/>
          <w:sz w:val="24"/>
          <w:szCs w:val="24"/>
          <w:highlight w:val="none"/>
          <w:u w:val="single" w:color="auto"/>
        </w:rPr>
        <w:t>：（</w:t>
      </w:r>
      <w:r>
        <w:rPr>
          <w:rFonts w:hint="eastAsia" w:asciiTheme="minorEastAsia" w:hAnsiTheme="minorEastAsia" w:eastAsiaTheme="minorEastAsia" w:cstheme="minorEastAsia"/>
          <w:position w:val="14"/>
          <w:sz w:val="24"/>
          <w:szCs w:val="24"/>
          <w:highlight w:val="none"/>
          <w:u w:val="single" w:color="auto"/>
        </w:rPr>
        <w:t>手机号码）</w:t>
      </w:r>
      <w:r>
        <w:rPr>
          <w:rFonts w:hint="eastAsia" w:asciiTheme="minorEastAsia" w:hAnsiTheme="minorEastAsia" w:eastAsiaTheme="minorEastAsia" w:cstheme="minorEastAsia"/>
          <w:spacing w:val="14"/>
          <w:position w:val="14"/>
          <w:sz w:val="24"/>
          <w:szCs w:val="24"/>
          <w:highlight w:val="none"/>
          <w:u w:val="single" w:color="auto"/>
        </w:rPr>
        <w:t xml:space="preserve">      </w:t>
      </w:r>
    </w:p>
    <w:p w14:paraId="1AE87AA4">
      <w:pPr>
        <w:spacing w:line="204" w:lineRule="auto"/>
        <w:ind w:firstLine="645"/>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授权委托人联系方式</w:t>
      </w:r>
      <w:r>
        <w:rPr>
          <w:rFonts w:hint="eastAsia" w:asciiTheme="minorEastAsia" w:hAnsiTheme="minorEastAsia" w:eastAsiaTheme="minorEastAsia" w:cstheme="minorEastAsia"/>
          <w:spacing w:val="-81"/>
          <w:sz w:val="24"/>
          <w:szCs w:val="24"/>
          <w:highlight w:val="none"/>
        </w:rPr>
        <w:t xml:space="preserve"> </w:t>
      </w:r>
      <w:r>
        <w:rPr>
          <w:rFonts w:hint="eastAsia" w:asciiTheme="minorEastAsia" w:hAnsiTheme="minorEastAsia" w:eastAsiaTheme="minorEastAsia" w:cstheme="minorEastAsia"/>
          <w:spacing w:val="-60"/>
          <w:sz w:val="24"/>
          <w:szCs w:val="24"/>
          <w:highlight w:val="none"/>
          <w:u w:val="single" w:color="auto"/>
        </w:rPr>
        <w:t>：（</w:t>
      </w:r>
      <w:r>
        <w:rPr>
          <w:rFonts w:hint="eastAsia" w:asciiTheme="minorEastAsia" w:hAnsiTheme="minorEastAsia" w:eastAsiaTheme="minorEastAsia" w:cstheme="minorEastAsia"/>
          <w:sz w:val="24"/>
          <w:szCs w:val="24"/>
          <w:highlight w:val="none"/>
          <w:u w:val="single" w:color="auto"/>
        </w:rPr>
        <w:t>手机号码）</w:t>
      </w:r>
      <w:r>
        <w:rPr>
          <w:rFonts w:hint="eastAsia" w:asciiTheme="minorEastAsia" w:hAnsiTheme="minorEastAsia" w:eastAsiaTheme="minorEastAsia" w:cstheme="minorEastAsia"/>
          <w:spacing w:val="14"/>
          <w:sz w:val="24"/>
          <w:szCs w:val="24"/>
          <w:highlight w:val="none"/>
          <w:u w:val="single" w:color="auto"/>
        </w:rPr>
        <w:t xml:space="preserve">      </w:t>
      </w:r>
    </w:p>
    <w:p w14:paraId="786D5C56">
      <w:pPr>
        <w:spacing w:line="240" w:lineRule="auto"/>
        <w:jc w:val="left"/>
        <w:rPr>
          <w:rFonts w:hint="eastAsia" w:asciiTheme="minorEastAsia" w:hAnsiTheme="minorEastAsia" w:eastAsiaTheme="minorEastAsia" w:cstheme="minorEastAsia"/>
          <w:sz w:val="24"/>
          <w:szCs w:val="24"/>
          <w:highlight w:val="none"/>
        </w:rPr>
      </w:pPr>
    </w:p>
    <w:p w14:paraId="695BB629">
      <w:pPr>
        <w:spacing w:line="240" w:lineRule="auto"/>
        <w:jc w:val="left"/>
        <w:rPr>
          <w:rFonts w:hint="eastAsia" w:asciiTheme="minorEastAsia" w:hAnsiTheme="minorEastAsia" w:eastAsiaTheme="minorEastAsia" w:cstheme="minorEastAsia"/>
          <w:sz w:val="24"/>
          <w:szCs w:val="24"/>
          <w:highlight w:val="none"/>
        </w:rPr>
      </w:pPr>
    </w:p>
    <w:p w14:paraId="3824D756">
      <w:pPr>
        <w:spacing w:before="100" w:line="204" w:lineRule="auto"/>
        <w:ind w:firstLine="647"/>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法人代表签字或盖章：</w:t>
      </w:r>
      <w:r>
        <w:rPr>
          <w:rFonts w:hint="eastAsia" w:asciiTheme="minorEastAsia" w:hAnsiTheme="minorEastAsia" w:eastAsiaTheme="minorEastAsia" w:cstheme="minorEastAsia"/>
          <w:spacing w:val="5"/>
          <w:sz w:val="24"/>
          <w:szCs w:val="24"/>
          <w:highlight w:val="none"/>
          <w:u w:val="single" w:color="auto"/>
        </w:rPr>
        <w:t xml:space="preserve">                   </w:t>
      </w:r>
    </w:p>
    <w:p w14:paraId="3A795D0F">
      <w:pPr>
        <w:spacing w:before="178" w:line="407" w:lineRule="exact"/>
        <w:ind w:firstLine="645"/>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position w:val="14"/>
          <w:sz w:val="24"/>
          <w:szCs w:val="24"/>
          <w:highlight w:val="none"/>
        </w:rPr>
        <w:t>代理人（被授权人）</w:t>
      </w:r>
      <w:r>
        <w:rPr>
          <w:rFonts w:hint="eastAsia" w:asciiTheme="minorEastAsia" w:hAnsiTheme="minorEastAsia" w:eastAsiaTheme="minorEastAsia" w:cstheme="minorEastAsia"/>
          <w:spacing w:val="-88"/>
          <w:position w:val="14"/>
          <w:sz w:val="24"/>
          <w:szCs w:val="24"/>
          <w:highlight w:val="none"/>
        </w:rPr>
        <w:t xml:space="preserve"> </w:t>
      </w:r>
      <w:r>
        <w:rPr>
          <w:rFonts w:hint="eastAsia" w:asciiTheme="minorEastAsia" w:hAnsiTheme="minorEastAsia" w:eastAsiaTheme="minorEastAsia" w:cstheme="minorEastAsia"/>
          <w:spacing w:val="-1"/>
          <w:position w:val="14"/>
          <w:sz w:val="24"/>
          <w:szCs w:val="24"/>
          <w:highlight w:val="none"/>
        </w:rPr>
        <w:t>签字或盖章：</w:t>
      </w:r>
      <w:r>
        <w:rPr>
          <w:rFonts w:hint="eastAsia" w:asciiTheme="minorEastAsia" w:hAnsiTheme="minorEastAsia" w:eastAsiaTheme="minorEastAsia" w:cstheme="minorEastAsia"/>
          <w:spacing w:val="7"/>
          <w:position w:val="14"/>
          <w:sz w:val="24"/>
          <w:szCs w:val="24"/>
          <w:highlight w:val="none"/>
          <w:u w:val="single" w:color="auto"/>
        </w:rPr>
        <w:t xml:space="preserve">             </w:t>
      </w:r>
    </w:p>
    <w:p w14:paraId="60BC48EE">
      <w:pPr>
        <w:spacing w:line="204" w:lineRule="auto"/>
        <w:ind w:firstLine="648"/>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供应商</w:t>
      </w:r>
      <w:r>
        <w:rPr>
          <w:rFonts w:hint="eastAsia" w:asciiTheme="minorEastAsia" w:hAnsiTheme="minorEastAsia" w:eastAsiaTheme="minorEastAsia" w:cstheme="minorEastAsia"/>
          <w:spacing w:val="-1"/>
          <w:sz w:val="24"/>
          <w:szCs w:val="24"/>
          <w:highlight w:val="none"/>
        </w:rPr>
        <w:t>签章：</w:t>
      </w:r>
      <w:r>
        <w:rPr>
          <w:rFonts w:hint="eastAsia" w:asciiTheme="minorEastAsia" w:hAnsiTheme="minorEastAsia" w:eastAsiaTheme="minorEastAsia" w:cstheme="minorEastAsia"/>
          <w:spacing w:val="4"/>
          <w:sz w:val="24"/>
          <w:szCs w:val="24"/>
          <w:highlight w:val="none"/>
          <w:u w:val="single" w:color="auto"/>
        </w:rPr>
        <w:t xml:space="preserve">                      </w:t>
      </w:r>
    </w:p>
    <w:p w14:paraId="527277CE">
      <w:pPr>
        <w:spacing w:before="174" w:line="204" w:lineRule="auto"/>
        <w:ind w:firstLine="645"/>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授权委托日期：</w:t>
      </w:r>
      <w:r>
        <w:rPr>
          <w:rFonts w:hint="eastAsia" w:asciiTheme="minorEastAsia" w:hAnsiTheme="minorEastAsia" w:eastAsiaTheme="minorEastAsia" w:cstheme="minorEastAsia"/>
          <w:spacing w:val="6"/>
          <w:sz w:val="24"/>
          <w:szCs w:val="24"/>
          <w:highlight w:val="none"/>
          <w:u w:val="single" w:color="auto"/>
        </w:rPr>
        <w:t xml:space="preserve">                </w:t>
      </w:r>
    </w:p>
    <w:p w14:paraId="50681592">
      <w:pPr>
        <w:spacing w:line="360" w:lineRule="auto"/>
        <w:rPr>
          <w:rFonts w:hint="default" w:ascii="Times New Roman" w:hAnsi="Times New Roman" w:eastAsia="宋体" w:cs="Times New Roman"/>
          <w:color w:val="auto"/>
          <w:sz w:val="24"/>
          <w:szCs w:val="28"/>
          <w:highlight w:val="none"/>
        </w:rPr>
      </w:pPr>
    </w:p>
    <w:p w14:paraId="2281D850">
      <w:pPr>
        <w:spacing w:line="360" w:lineRule="auto"/>
        <w:ind w:firstLine="4800" w:firstLineChars="200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供应商</w:t>
      </w:r>
      <w:r>
        <w:rPr>
          <w:rFonts w:hint="default" w:ascii="Times New Roman" w:hAnsi="Times New Roman" w:eastAsia="宋体" w:cs="Times New Roman"/>
          <w:color w:val="auto"/>
          <w:sz w:val="24"/>
          <w:highlight w:val="none"/>
          <w:lang w:val="en-US" w:eastAsia="zh-CN"/>
        </w:rPr>
        <w:t>（盖单位公章）</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u w:val="single"/>
        </w:rPr>
        <w:t xml:space="preserve">             </w:t>
      </w:r>
    </w:p>
    <w:p w14:paraId="4848D273">
      <w:pPr>
        <w:tabs>
          <w:tab w:val="left" w:pos="630"/>
        </w:tabs>
        <w:spacing w:line="360" w:lineRule="auto"/>
        <w:ind w:firstLine="4800" w:firstLineChars="2000"/>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highlight w:val="none"/>
        </w:rPr>
        <w:t>日          期：</w:t>
      </w:r>
      <w:r>
        <w:rPr>
          <w:rFonts w:hint="default" w:ascii="Times New Roman" w:hAnsi="Times New Roman" w:eastAsia="宋体" w:cs="Times New Roman"/>
          <w:color w:val="auto"/>
          <w:sz w:val="24"/>
          <w:highlight w:val="none"/>
          <w:u w:val="single"/>
        </w:rPr>
        <w:t xml:space="preserve">             </w:t>
      </w:r>
    </w:p>
    <w:p w14:paraId="1C545072">
      <w:pPr>
        <w:spacing w:line="360" w:lineRule="auto"/>
        <w:rPr>
          <w:rFonts w:hint="default" w:ascii="Times New Roman" w:hAnsi="Times New Roman" w:eastAsia="宋体" w:cs="Times New Roman"/>
          <w:color w:val="auto"/>
          <w:sz w:val="24"/>
          <w:szCs w:val="28"/>
          <w:highlight w:val="none"/>
        </w:rPr>
      </w:pPr>
    </w:p>
    <w:p w14:paraId="400051FA">
      <w:pPr>
        <w:pStyle w:val="10"/>
        <w:snapToGrid w:val="0"/>
        <w:spacing w:line="360" w:lineRule="auto"/>
        <w:jc w:val="left"/>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注：</w:t>
      </w:r>
    </w:p>
    <w:p w14:paraId="242DBE51">
      <w:pPr>
        <w:pStyle w:val="10"/>
        <w:snapToGrid w:val="0"/>
        <w:spacing w:line="360" w:lineRule="auto"/>
        <w:jc w:val="left"/>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1.本项目只允许有唯一的供应商授权代表，提供</w:t>
      </w:r>
      <w:r>
        <w:rPr>
          <w:rFonts w:hint="eastAsia" w:ascii="Times New Roman" w:hAnsi="Times New Roman" w:eastAsia="宋体" w:cs="Times New Roman"/>
          <w:b/>
          <w:bCs/>
          <w:color w:val="auto"/>
          <w:sz w:val="24"/>
          <w:szCs w:val="28"/>
          <w:highlight w:val="none"/>
          <w:lang w:val="en-US" w:eastAsia="zh-CN"/>
        </w:rPr>
        <w:t>授权书及法人和授权人身份证复制</w:t>
      </w:r>
      <w:r>
        <w:rPr>
          <w:rFonts w:hint="default" w:ascii="Times New Roman" w:hAnsi="Times New Roman" w:eastAsia="宋体" w:cs="Times New Roman"/>
          <w:b/>
          <w:bCs/>
          <w:color w:val="auto"/>
          <w:sz w:val="24"/>
          <w:szCs w:val="28"/>
          <w:highlight w:val="none"/>
          <w:lang w:val="en-US" w:eastAsia="zh-CN"/>
        </w:rPr>
        <w:t>件；</w:t>
      </w:r>
    </w:p>
    <w:p w14:paraId="2BE89756">
      <w:pPr>
        <w:spacing w:line="360" w:lineRule="auto"/>
        <w:jc w:val="left"/>
        <w:rPr>
          <w:rFonts w:ascii="宋体" w:hAnsi="宋体" w:eastAsia="宋体" w:cs="宋体"/>
          <w:color w:val="auto"/>
          <w:sz w:val="24"/>
          <w:highlight w:val="none"/>
        </w:rPr>
      </w:pPr>
      <w:r>
        <w:rPr>
          <w:rFonts w:hint="default" w:ascii="Times New Roman" w:hAnsi="Times New Roman" w:eastAsia="宋体" w:cs="Times New Roman"/>
          <w:color w:val="auto"/>
          <w:sz w:val="24"/>
          <w:highlight w:val="none"/>
        </w:rPr>
        <w:t>2.法定代表人参加磋商的无需提供授权书，仅提供</w:t>
      </w:r>
      <w:r>
        <w:rPr>
          <w:rFonts w:hint="eastAsia" w:ascii="宋体" w:hAnsi="宋体" w:eastAsia="宋体" w:cs="宋体"/>
          <w:b/>
          <w:bCs w:val="0"/>
          <w:color w:val="auto"/>
          <w:sz w:val="24"/>
          <w:szCs w:val="24"/>
          <w:highlight w:val="none"/>
        </w:rPr>
        <w:t>法定代表人身份证明</w:t>
      </w:r>
      <w:r>
        <w:rPr>
          <w:rFonts w:hint="eastAsia" w:ascii="宋体" w:hAnsi="宋体" w:eastAsia="宋体" w:cs="宋体"/>
          <w:b/>
          <w:bCs w:val="0"/>
          <w:color w:val="auto"/>
          <w:sz w:val="24"/>
          <w:szCs w:val="24"/>
          <w:highlight w:val="none"/>
          <w:lang w:val="en-US" w:eastAsia="zh-CN"/>
        </w:rPr>
        <w:t>及身份证复制件</w:t>
      </w:r>
      <w:r>
        <w:rPr>
          <w:rFonts w:hint="default" w:ascii="Times New Roman" w:hAnsi="Times New Roman" w:eastAsia="宋体" w:cs="Times New Roman"/>
          <w:color w:val="auto"/>
          <w:sz w:val="24"/>
          <w:highlight w:val="none"/>
        </w:rPr>
        <w:t>。</w:t>
      </w:r>
    </w:p>
    <w:p w14:paraId="672D1663">
      <w:pPr>
        <w:widowControl/>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14:paraId="4109EBA3">
      <w:pPr>
        <w:spacing w:line="360" w:lineRule="auto"/>
        <w:jc w:val="center"/>
        <w:outlineLvl w:val="1"/>
        <w:rPr>
          <w:rFonts w:hint="eastAsia" w:ascii="宋体" w:hAnsi="宋体" w:eastAsia="宋体" w:cs="宋体"/>
          <w:b/>
          <w:color w:val="auto"/>
          <w:sz w:val="24"/>
          <w:highlight w:val="none"/>
        </w:rPr>
      </w:pPr>
      <w:bookmarkStart w:id="353" w:name="_Toc15797"/>
      <w:r>
        <w:rPr>
          <w:rFonts w:hint="eastAsia" w:ascii="宋体" w:hAnsi="宋体" w:eastAsia="宋体" w:cs="宋体"/>
          <w:b/>
          <w:color w:val="auto"/>
          <w:sz w:val="24"/>
          <w:highlight w:val="none"/>
        </w:rPr>
        <w:t>六、磋商响应表</w:t>
      </w:r>
      <w:bookmarkEnd w:id="353"/>
    </w:p>
    <w:p w14:paraId="6920CA67">
      <w:pPr>
        <w:pStyle w:val="6"/>
        <w:rPr>
          <w:highlight w:val="none"/>
        </w:rPr>
      </w:pP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1783"/>
        <w:gridCol w:w="2514"/>
        <w:gridCol w:w="2148"/>
        <w:gridCol w:w="1783"/>
      </w:tblGrid>
      <w:tr w14:paraId="06DE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568" w:type="pct"/>
            <w:vAlign w:val="center"/>
          </w:tcPr>
          <w:p w14:paraId="1229C625">
            <w:pPr>
              <w:pStyle w:val="10"/>
              <w:spacing w:line="360" w:lineRule="auto"/>
              <w:jc w:val="center"/>
              <w:rPr>
                <w:rFonts w:hAnsi="宋体" w:eastAsia="宋体" w:cs="宋体"/>
                <w:b/>
                <w:color w:val="auto"/>
                <w:sz w:val="24"/>
                <w:highlight w:val="none"/>
              </w:rPr>
            </w:pPr>
            <w:r>
              <w:rPr>
                <w:rFonts w:hint="eastAsia" w:hAnsi="宋体" w:eastAsia="宋体" w:cs="宋体"/>
                <w:b/>
                <w:color w:val="auto"/>
                <w:sz w:val="24"/>
                <w:highlight w:val="none"/>
              </w:rPr>
              <w:t>序号</w:t>
            </w:r>
          </w:p>
        </w:tc>
        <w:tc>
          <w:tcPr>
            <w:tcW w:w="960" w:type="pct"/>
            <w:vAlign w:val="center"/>
          </w:tcPr>
          <w:p w14:paraId="40515E11">
            <w:pPr>
              <w:pStyle w:val="10"/>
              <w:spacing w:line="360" w:lineRule="auto"/>
              <w:jc w:val="center"/>
              <w:rPr>
                <w:rFonts w:hAnsi="宋体" w:eastAsia="宋体" w:cs="宋体"/>
                <w:b/>
                <w:color w:val="auto"/>
                <w:sz w:val="24"/>
                <w:highlight w:val="none"/>
              </w:rPr>
            </w:pPr>
            <w:r>
              <w:rPr>
                <w:rFonts w:hint="eastAsia" w:hAnsi="宋体" w:eastAsia="宋体" w:cs="宋体"/>
                <w:b/>
                <w:bCs/>
                <w:color w:val="auto"/>
                <w:sz w:val="24"/>
                <w:szCs w:val="24"/>
                <w:highlight w:val="none"/>
              </w:rPr>
              <w:t>商务条款</w:t>
            </w:r>
          </w:p>
        </w:tc>
        <w:tc>
          <w:tcPr>
            <w:tcW w:w="1353" w:type="pct"/>
            <w:vAlign w:val="center"/>
          </w:tcPr>
          <w:p w14:paraId="49AE8A8A">
            <w:pPr>
              <w:pStyle w:val="10"/>
              <w:spacing w:line="360" w:lineRule="auto"/>
              <w:jc w:val="center"/>
              <w:rPr>
                <w:rFonts w:hAnsi="宋体" w:eastAsia="宋体" w:cs="宋体"/>
                <w:b/>
                <w:color w:val="auto"/>
                <w:sz w:val="24"/>
                <w:highlight w:val="none"/>
              </w:rPr>
            </w:pPr>
            <w:r>
              <w:rPr>
                <w:rFonts w:hint="eastAsia" w:hAnsi="宋体" w:eastAsia="宋体" w:cs="宋体"/>
                <w:b/>
                <w:color w:val="auto"/>
                <w:sz w:val="24"/>
                <w:highlight w:val="none"/>
              </w:rPr>
              <w:t>磋商文件要求</w:t>
            </w:r>
          </w:p>
        </w:tc>
        <w:tc>
          <w:tcPr>
            <w:tcW w:w="1156" w:type="pct"/>
            <w:vAlign w:val="center"/>
          </w:tcPr>
          <w:p w14:paraId="12027D31">
            <w:pPr>
              <w:pStyle w:val="10"/>
              <w:spacing w:line="360" w:lineRule="auto"/>
              <w:jc w:val="center"/>
              <w:rPr>
                <w:rFonts w:hAnsi="宋体" w:eastAsia="宋体" w:cs="宋体"/>
                <w:b/>
                <w:color w:val="auto"/>
                <w:sz w:val="24"/>
                <w:highlight w:val="none"/>
              </w:rPr>
            </w:pPr>
            <w:r>
              <w:rPr>
                <w:rFonts w:hint="eastAsia" w:hAnsi="宋体" w:eastAsia="宋体" w:cs="宋体"/>
                <w:b/>
                <w:color w:val="auto"/>
                <w:sz w:val="24"/>
                <w:highlight w:val="none"/>
              </w:rPr>
              <w:t>供应商承诺</w:t>
            </w:r>
          </w:p>
        </w:tc>
        <w:tc>
          <w:tcPr>
            <w:tcW w:w="960" w:type="pct"/>
            <w:vAlign w:val="center"/>
          </w:tcPr>
          <w:p w14:paraId="2ABA9EBB">
            <w:pPr>
              <w:pStyle w:val="10"/>
              <w:spacing w:line="360" w:lineRule="auto"/>
              <w:jc w:val="center"/>
              <w:rPr>
                <w:rFonts w:hAnsi="宋体" w:eastAsia="宋体" w:cs="宋体"/>
                <w:b/>
                <w:color w:val="auto"/>
                <w:sz w:val="24"/>
                <w:highlight w:val="none"/>
              </w:rPr>
            </w:pPr>
            <w:r>
              <w:rPr>
                <w:rFonts w:hint="eastAsia" w:hAnsi="宋体" w:eastAsia="宋体" w:cs="宋体"/>
                <w:b/>
                <w:color w:val="auto"/>
                <w:sz w:val="24"/>
                <w:highlight w:val="none"/>
              </w:rPr>
              <w:t>偏离说明</w:t>
            </w:r>
          </w:p>
        </w:tc>
      </w:tr>
      <w:tr w14:paraId="3C41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8" w:type="pct"/>
            <w:vAlign w:val="center"/>
          </w:tcPr>
          <w:p w14:paraId="24D12CDD">
            <w:pPr>
              <w:pStyle w:val="31"/>
              <w:widowControl/>
              <w:kinsoku w:val="0"/>
              <w:adjustRightInd w:val="0"/>
              <w:snapToGrid w:val="0"/>
              <w:spacing w:before="19"/>
              <w:ind w:left="152" w:leftChars="0" w:right="143" w:rightChars="0"/>
              <w:jc w:val="center"/>
              <w:rPr>
                <w:rFonts w:hint="eastAsia" w:asciiTheme="minorEastAsia" w:hAnsiTheme="minorEastAsia" w:eastAsiaTheme="minorEastAsia" w:cstheme="minorEastAsia"/>
                <w:color w:val="000000"/>
                <w:sz w:val="24"/>
                <w:szCs w:val="24"/>
                <w:highlight w:val="none"/>
                <w:lang w:eastAsia="en-US"/>
              </w:rPr>
            </w:pPr>
            <w:r>
              <w:rPr>
                <w:rFonts w:hint="eastAsia" w:asciiTheme="minorEastAsia" w:hAnsiTheme="minorEastAsia" w:eastAsiaTheme="minorEastAsia" w:cstheme="minorEastAsia"/>
                <w:color w:val="000000"/>
                <w:sz w:val="24"/>
                <w:szCs w:val="24"/>
                <w:highlight w:val="none"/>
                <w:lang w:eastAsia="en-US"/>
              </w:rPr>
              <w:t>1</w:t>
            </w:r>
          </w:p>
        </w:tc>
        <w:tc>
          <w:tcPr>
            <w:tcW w:w="960" w:type="pct"/>
            <w:vAlign w:val="center"/>
          </w:tcPr>
          <w:p w14:paraId="58527B5E">
            <w:pPr>
              <w:pStyle w:val="31"/>
              <w:widowControl/>
              <w:kinsoku w:val="0"/>
              <w:adjustRightInd w:val="0"/>
              <w:snapToGrid w:val="0"/>
              <w:spacing w:before="19"/>
              <w:ind w:left="152" w:leftChars="0" w:right="143" w:rightChars="0"/>
              <w:jc w:val="center"/>
              <w:rPr>
                <w:rFonts w:hint="eastAsia" w:asciiTheme="minorEastAsia" w:hAnsiTheme="minorEastAsia" w:eastAsiaTheme="minorEastAsia" w:cstheme="minorEastAsia"/>
                <w:color w:val="000000"/>
                <w:sz w:val="24"/>
                <w:szCs w:val="24"/>
                <w:highlight w:val="none"/>
                <w:lang w:eastAsia="en-US"/>
              </w:rPr>
            </w:pPr>
            <w:r>
              <w:rPr>
                <w:rFonts w:hint="eastAsia" w:asciiTheme="minorEastAsia" w:hAnsiTheme="minorEastAsia" w:eastAsiaTheme="minorEastAsia" w:cstheme="minorEastAsia"/>
                <w:color w:val="000000"/>
                <w:sz w:val="24"/>
                <w:szCs w:val="24"/>
                <w:highlight w:val="none"/>
                <w:lang w:eastAsia="en-US"/>
              </w:rPr>
              <w:t>付款方式</w:t>
            </w:r>
          </w:p>
        </w:tc>
        <w:tc>
          <w:tcPr>
            <w:tcW w:w="1353" w:type="pct"/>
            <w:vAlign w:val="center"/>
          </w:tcPr>
          <w:p w14:paraId="0DF7D56F">
            <w:pPr>
              <w:spacing w:line="360" w:lineRule="auto"/>
              <w:jc w:val="center"/>
              <w:rPr>
                <w:rFonts w:ascii="宋体" w:hAnsi="宋体" w:eastAsia="宋体" w:cs="宋体"/>
                <w:color w:val="auto"/>
                <w:sz w:val="24"/>
                <w:highlight w:val="none"/>
              </w:rPr>
            </w:pPr>
          </w:p>
        </w:tc>
        <w:tc>
          <w:tcPr>
            <w:tcW w:w="1156" w:type="pct"/>
            <w:vAlign w:val="center"/>
          </w:tcPr>
          <w:p w14:paraId="557F0608">
            <w:pPr>
              <w:spacing w:line="360" w:lineRule="auto"/>
              <w:jc w:val="center"/>
              <w:rPr>
                <w:rFonts w:ascii="宋体" w:hAnsi="宋体" w:eastAsia="宋体" w:cs="宋体"/>
                <w:color w:val="auto"/>
                <w:sz w:val="24"/>
                <w:highlight w:val="none"/>
              </w:rPr>
            </w:pPr>
          </w:p>
        </w:tc>
        <w:tc>
          <w:tcPr>
            <w:tcW w:w="960" w:type="pct"/>
            <w:vAlign w:val="center"/>
          </w:tcPr>
          <w:p w14:paraId="0BEDF7FB">
            <w:pPr>
              <w:spacing w:line="360" w:lineRule="auto"/>
              <w:jc w:val="center"/>
              <w:rPr>
                <w:rFonts w:ascii="宋体" w:hAnsi="宋体" w:eastAsia="宋体" w:cs="宋体"/>
                <w:color w:val="auto"/>
                <w:sz w:val="24"/>
                <w:highlight w:val="none"/>
              </w:rPr>
            </w:pPr>
          </w:p>
        </w:tc>
      </w:tr>
      <w:tr w14:paraId="1F89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8" w:type="pct"/>
            <w:vAlign w:val="center"/>
          </w:tcPr>
          <w:p w14:paraId="6BC8D425">
            <w:pPr>
              <w:pStyle w:val="31"/>
              <w:widowControl/>
              <w:kinsoku w:val="0"/>
              <w:adjustRightInd w:val="0"/>
              <w:snapToGrid w:val="0"/>
              <w:spacing w:before="19"/>
              <w:ind w:left="152" w:leftChars="0" w:right="143" w:rightChars="0"/>
              <w:jc w:val="center"/>
              <w:rPr>
                <w:rFonts w:hint="eastAsia" w:asciiTheme="minorEastAsia" w:hAnsiTheme="minorEastAsia" w:eastAsiaTheme="minorEastAsia" w:cstheme="minorEastAsia"/>
                <w:color w:val="000000"/>
                <w:sz w:val="24"/>
                <w:szCs w:val="24"/>
                <w:highlight w:val="none"/>
                <w:lang w:eastAsia="en-US"/>
              </w:rPr>
            </w:pPr>
            <w:r>
              <w:rPr>
                <w:rFonts w:hint="eastAsia" w:asciiTheme="minorEastAsia" w:hAnsiTheme="minorEastAsia" w:eastAsiaTheme="minorEastAsia" w:cstheme="minorEastAsia"/>
                <w:color w:val="000000"/>
                <w:sz w:val="24"/>
                <w:szCs w:val="24"/>
                <w:highlight w:val="none"/>
                <w:lang w:eastAsia="en-US"/>
              </w:rPr>
              <w:t>2</w:t>
            </w:r>
          </w:p>
        </w:tc>
        <w:tc>
          <w:tcPr>
            <w:tcW w:w="960" w:type="pct"/>
            <w:vAlign w:val="center"/>
          </w:tcPr>
          <w:p w14:paraId="3AF6194D">
            <w:pPr>
              <w:pStyle w:val="31"/>
              <w:widowControl/>
              <w:kinsoku w:val="0"/>
              <w:adjustRightInd w:val="0"/>
              <w:snapToGrid w:val="0"/>
              <w:spacing w:before="19"/>
              <w:ind w:left="152" w:leftChars="0" w:right="143" w:rightChars="0"/>
              <w:jc w:val="center"/>
              <w:rPr>
                <w:rFonts w:hint="eastAsia" w:asciiTheme="minorEastAsia" w:hAnsiTheme="minorEastAsia" w:eastAsiaTheme="minorEastAsia" w:cstheme="minorEastAsia"/>
                <w:color w:val="000000"/>
                <w:sz w:val="24"/>
                <w:szCs w:val="24"/>
                <w:highlight w:val="none"/>
                <w:lang w:eastAsia="en-US"/>
              </w:rPr>
            </w:pPr>
            <w:r>
              <w:rPr>
                <w:rFonts w:hint="eastAsia" w:asciiTheme="minorEastAsia" w:hAnsiTheme="minorEastAsia" w:eastAsiaTheme="minorEastAsia" w:cstheme="minorEastAsia"/>
                <w:color w:val="000000"/>
                <w:sz w:val="24"/>
                <w:szCs w:val="24"/>
                <w:highlight w:val="none"/>
                <w:lang w:eastAsia="en-US"/>
              </w:rPr>
              <w:t>服务地点</w:t>
            </w:r>
          </w:p>
        </w:tc>
        <w:tc>
          <w:tcPr>
            <w:tcW w:w="1353" w:type="pct"/>
            <w:vAlign w:val="center"/>
          </w:tcPr>
          <w:p w14:paraId="4014519E">
            <w:pPr>
              <w:spacing w:line="360" w:lineRule="auto"/>
              <w:jc w:val="center"/>
              <w:rPr>
                <w:rFonts w:ascii="宋体" w:hAnsi="宋体" w:eastAsia="宋体" w:cs="宋体"/>
                <w:color w:val="auto"/>
                <w:sz w:val="24"/>
                <w:highlight w:val="none"/>
              </w:rPr>
            </w:pPr>
          </w:p>
        </w:tc>
        <w:tc>
          <w:tcPr>
            <w:tcW w:w="1156" w:type="pct"/>
            <w:vAlign w:val="center"/>
          </w:tcPr>
          <w:p w14:paraId="023115B3">
            <w:pPr>
              <w:spacing w:line="360" w:lineRule="auto"/>
              <w:jc w:val="center"/>
              <w:rPr>
                <w:rFonts w:ascii="宋体" w:hAnsi="宋体" w:eastAsia="宋体" w:cs="宋体"/>
                <w:color w:val="auto"/>
                <w:sz w:val="24"/>
                <w:highlight w:val="none"/>
              </w:rPr>
            </w:pPr>
          </w:p>
        </w:tc>
        <w:tc>
          <w:tcPr>
            <w:tcW w:w="960" w:type="pct"/>
            <w:vAlign w:val="center"/>
          </w:tcPr>
          <w:p w14:paraId="250ADD95">
            <w:pPr>
              <w:spacing w:line="360" w:lineRule="auto"/>
              <w:jc w:val="center"/>
              <w:rPr>
                <w:rFonts w:ascii="宋体" w:hAnsi="宋体" w:eastAsia="宋体" w:cs="宋体"/>
                <w:color w:val="auto"/>
                <w:sz w:val="24"/>
                <w:highlight w:val="none"/>
              </w:rPr>
            </w:pPr>
          </w:p>
        </w:tc>
      </w:tr>
      <w:tr w14:paraId="7709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8" w:type="pct"/>
            <w:vAlign w:val="center"/>
          </w:tcPr>
          <w:p w14:paraId="26AFEB23">
            <w:pPr>
              <w:pStyle w:val="31"/>
              <w:widowControl/>
              <w:kinsoku w:val="0"/>
              <w:adjustRightInd w:val="0"/>
              <w:snapToGrid w:val="0"/>
              <w:spacing w:before="19"/>
              <w:ind w:left="152" w:leftChars="0" w:right="143" w:rightChars="0"/>
              <w:jc w:val="center"/>
              <w:rPr>
                <w:rFonts w:hint="eastAsia" w:asciiTheme="minorEastAsia" w:hAnsiTheme="minorEastAsia" w:eastAsiaTheme="minorEastAsia" w:cstheme="minorEastAsia"/>
                <w:color w:val="000000"/>
                <w:sz w:val="24"/>
                <w:szCs w:val="24"/>
                <w:highlight w:val="none"/>
                <w:lang w:eastAsia="en-US"/>
              </w:rPr>
            </w:pPr>
            <w:r>
              <w:rPr>
                <w:rFonts w:hint="eastAsia" w:asciiTheme="minorEastAsia" w:hAnsiTheme="minorEastAsia" w:eastAsiaTheme="minorEastAsia" w:cstheme="minorEastAsia"/>
                <w:color w:val="000000"/>
                <w:sz w:val="24"/>
                <w:szCs w:val="24"/>
                <w:highlight w:val="none"/>
                <w:lang w:eastAsia="en-US"/>
              </w:rPr>
              <w:t>3</w:t>
            </w:r>
          </w:p>
        </w:tc>
        <w:tc>
          <w:tcPr>
            <w:tcW w:w="960" w:type="pct"/>
            <w:vAlign w:val="center"/>
          </w:tcPr>
          <w:p w14:paraId="20F266E3">
            <w:pPr>
              <w:pStyle w:val="31"/>
              <w:widowControl/>
              <w:kinsoku w:val="0"/>
              <w:adjustRightInd w:val="0"/>
              <w:snapToGrid w:val="0"/>
              <w:spacing w:before="19"/>
              <w:ind w:left="152" w:leftChars="0" w:right="143" w:rightChars="0"/>
              <w:jc w:val="center"/>
              <w:rPr>
                <w:rFonts w:hint="eastAsia" w:asciiTheme="minorEastAsia" w:hAnsiTheme="minorEastAsia" w:eastAsiaTheme="minorEastAsia" w:cstheme="minorEastAsia"/>
                <w:color w:val="000000"/>
                <w:sz w:val="24"/>
                <w:szCs w:val="24"/>
                <w:highlight w:val="none"/>
                <w:lang w:eastAsia="en-US"/>
              </w:rPr>
            </w:pPr>
            <w:r>
              <w:rPr>
                <w:rFonts w:hint="eastAsia" w:asciiTheme="minorEastAsia" w:hAnsiTheme="minorEastAsia" w:eastAsiaTheme="minorEastAsia" w:cstheme="minorEastAsia"/>
                <w:color w:val="000000"/>
                <w:sz w:val="24"/>
                <w:szCs w:val="24"/>
                <w:highlight w:val="none"/>
                <w:lang w:eastAsia="en-US"/>
              </w:rPr>
              <w:t>服务期限</w:t>
            </w:r>
          </w:p>
        </w:tc>
        <w:tc>
          <w:tcPr>
            <w:tcW w:w="1353" w:type="pct"/>
            <w:vAlign w:val="center"/>
          </w:tcPr>
          <w:p w14:paraId="08FE44DB">
            <w:pPr>
              <w:spacing w:line="360" w:lineRule="auto"/>
              <w:jc w:val="center"/>
              <w:rPr>
                <w:rFonts w:ascii="宋体" w:hAnsi="宋体" w:eastAsia="宋体" w:cs="宋体"/>
                <w:color w:val="auto"/>
                <w:sz w:val="24"/>
                <w:highlight w:val="none"/>
              </w:rPr>
            </w:pPr>
          </w:p>
        </w:tc>
        <w:tc>
          <w:tcPr>
            <w:tcW w:w="1156" w:type="pct"/>
            <w:vAlign w:val="center"/>
          </w:tcPr>
          <w:p w14:paraId="49CD49EB">
            <w:pPr>
              <w:pStyle w:val="32"/>
              <w:spacing w:line="360" w:lineRule="auto"/>
              <w:jc w:val="center"/>
              <w:rPr>
                <w:rFonts w:ascii="宋体" w:hAnsi="宋体" w:cs="宋体"/>
                <w:color w:val="auto"/>
                <w:highlight w:val="none"/>
              </w:rPr>
            </w:pPr>
          </w:p>
        </w:tc>
        <w:tc>
          <w:tcPr>
            <w:tcW w:w="960" w:type="pct"/>
            <w:vAlign w:val="center"/>
          </w:tcPr>
          <w:p w14:paraId="0D8C8184">
            <w:pPr>
              <w:spacing w:line="360" w:lineRule="auto"/>
              <w:jc w:val="center"/>
              <w:rPr>
                <w:rFonts w:ascii="宋体" w:hAnsi="宋体" w:eastAsia="宋体" w:cs="宋体"/>
                <w:color w:val="auto"/>
                <w:sz w:val="24"/>
                <w:highlight w:val="none"/>
              </w:rPr>
            </w:pPr>
          </w:p>
        </w:tc>
      </w:tr>
      <w:tr w14:paraId="0619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8" w:type="pct"/>
            <w:vAlign w:val="center"/>
          </w:tcPr>
          <w:p w14:paraId="69C5C94E">
            <w:pPr>
              <w:pStyle w:val="31"/>
              <w:widowControl/>
              <w:kinsoku w:val="0"/>
              <w:adjustRightInd w:val="0"/>
              <w:snapToGrid w:val="0"/>
              <w:spacing w:before="19"/>
              <w:ind w:left="152" w:leftChars="0" w:right="143" w:rightChars="0"/>
              <w:jc w:val="center"/>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val="en-US" w:eastAsia="zh-CN"/>
              </w:rPr>
              <w:t>4</w:t>
            </w:r>
          </w:p>
        </w:tc>
        <w:tc>
          <w:tcPr>
            <w:tcW w:w="960" w:type="pct"/>
            <w:vAlign w:val="center"/>
          </w:tcPr>
          <w:p w14:paraId="31A67CC8">
            <w:pPr>
              <w:pStyle w:val="31"/>
              <w:widowControl/>
              <w:kinsoku w:val="0"/>
              <w:adjustRightInd w:val="0"/>
              <w:snapToGrid w:val="0"/>
              <w:spacing w:before="19"/>
              <w:ind w:left="152" w:leftChars="0" w:right="143" w:rightChars="0"/>
              <w:jc w:val="center"/>
              <w:rPr>
                <w:rFonts w:hint="eastAsia" w:asciiTheme="minorEastAsia" w:hAnsiTheme="minorEastAsia" w:eastAsiaTheme="minorEastAsia" w:cstheme="minorEastAsia"/>
                <w:color w:val="000000"/>
                <w:sz w:val="24"/>
                <w:szCs w:val="24"/>
                <w:highlight w:val="none"/>
                <w:lang w:eastAsia="en-US"/>
              </w:rPr>
            </w:pPr>
            <w:r>
              <w:rPr>
                <w:rFonts w:hint="eastAsia" w:asciiTheme="minorEastAsia" w:hAnsiTheme="minorEastAsia" w:eastAsiaTheme="minorEastAsia" w:cstheme="minorEastAsia"/>
                <w:color w:val="000000"/>
                <w:sz w:val="24"/>
                <w:szCs w:val="24"/>
                <w:highlight w:val="none"/>
                <w:lang w:eastAsia="zh-CN"/>
              </w:rPr>
              <w:t>服务质量</w:t>
            </w:r>
          </w:p>
        </w:tc>
        <w:tc>
          <w:tcPr>
            <w:tcW w:w="1353" w:type="pct"/>
            <w:vAlign w:val="center"/>
          </w:tcPr>
          <w:p w14:paraId="769A7B78">
            <w:pPr>
              <w:spacing w:line="360" w:lineRule="auto"/>
              <w:jc w:val="center"/>
              <w:rPr>
                <w:rFonts w:ascii="宋体" w:hAnsi="宋体" w:eastAsia="宋体" w:cs="宋体"/>
                <w:color w:val="auto"/>
                <w:sz w:val="24"/>
                <w:highlight w:val="none"/>
              </w:rPr>
            </w:pPr>
          </w:p>
        </w:tc>
        <w:tc>
          <w:tcPr>
            <w:tcW w:w="1156" w:type="pct"/>
            <w:vAlign w:val="center"/>
          </w:tcPr>
          <w:p w14:paraId="4C14EB1D">
            <w:pPr>
              <w:spacing w:line="360" w:lineRule="auto"/>
              <w:jc w:val="center"/>
              <w:rPr>
                <w:rFonts w:ascii="宋体" w:hAnsi="宋体" w:eastAsia="宋体" w:cs="宋体"/>
                <w:color w:val="auto"/>
                <w:sz w:val="24"/>
                <w:highlight w:val="none"/>
              </w:rPr>
            </w:pPr>
          </w:p>
        </w:tc>
        <w:tc>
          <w:tcPr>
            <w:tcW w:w="960" w:type="pct"/>
            <w:vAlign w:val="center"/>
          </w:tcPr>
          <w:p w14:paraId="470AFE1A">
            <w:pPr>
              <w:spacing w:line="360" w:lineRule="auto"/>
              <w:jc w:val="center"/>
              <w:rPr>
                <w:rFonts w:ascii="宋体" w:hAnsi="宋体" w:eastAsia="宋体" w:cs="宋体"/>
                <w:color w:val="auto"/>
                <w:sz w:val="24"/>
                <w:highlight w:val="none"/>
              </w:rPr>
            </w:pPr>
          </w:p>
        </w:tc>
      </w:tr>
    </w:tbl>
    <w:p w14:paraId="6A1FE3AE">
      <w:pPr>
        <w:spacing w:line="360" w:lineRule="auto"/>
        <w:ind w:firstLine="4800" w:firstLineChars="2000"/>
        <w:rPr>
          <w:rFonts w:ascii="宋体" w:hAnsi="宋体" w:eastAsia="宋体" w:cs="宋体"/>
          <w:color w:val="auto"/>
          <w:sz w:val="24"/>
          <w:highlight w:val="none"/>
        </w:rPr>
      </w:pPr>
    </w:p>
    <w:p w14:paraId="49A3F410">
      <w:pPr>
        <w:spacing w:line="360" w:lineRule="auto"/>
        <w:ind w:firstLine="4800" w:firstLineChars="2000"/>
        <w:rPr>
          <w:rFonts w:ascii="宋体" w:hAnsi="宋体" w:eastAsia="宋体" w:cs="宋体"/>
          <w:color w:val="auto"/>
          <w:sz w:val="24"/>
          <w:highlight w:val="none"/>
        </w:rPr>
      </w:pPr>
    </w:p>
    <w:p w14:paraId="613FA82E">
      <w:pPr>
        <w:spacing w:line="360" w:lineRule="auto"/>
        <w:ind w:firstLine="4800" w:firstLineChars="2000"/>
        <w:rPr>
          <w:rFonts w:ascii="宋体" w:hAnsi="宋体" w:eastAsia="宋体" w:cs="宋体"/>
          <w:color w:val="auto"/>
          <w:sz w:val="24"/>
          <w:highlight w:val="none"/>
        </w:rPr>
      </w:pPr>
    </w:p>
    <w:p w14:paraId="2801BA53">
      <w:pPr>
        <w:spacing w:line="360" w:lineRule="auto"/>
        <w:ind w:firstLine="4800" w:firstLineChars="2000"/>
        <w:rPr>
          <w:rFonts w:ascii="宋体" w:hAnsi="宋体" w:eastAsia="宋体" w:cs="宋体"/>
          <w:color w:val="auto"/>
          <w:sz w:val="24"/>
          <w:highlight w:val="none"/>
          <w:u w:val="single"/>
        </w:rPr>
      </w:pPr>
      <w:r>
        <w:rPr>
          <w:rFonts w:hint="default" w:ascii="Times New Roman" w:hAnsi="Times New Roman" w:eastAsia="宋体" w:cs="Times New Roman"/>
          <w:color w:val="auto"/>
          <w:sz w:val="24"/>
          <w:highlight w:val="none"/>
        </w:rPr>
        <w:t>供应商</w:t>
      </w:r>
      <w:r>
        <w:rPr>
          <w:rFonts w:hint="default" w:ascii="Times New Roman" w:hAnsi="Times New Roman" w:eastAsia="宋体" w:cs="Times New Roman"/>
          <w:color w:val="auto"/>
          <w:sz w:val="24"/>
          <w:highlight w:val="none"/>
          <w:lang w:eastAsia="zh-CN"/>
        </w:rPr>
        <w:t>（盖单位公章）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4A195A15">
      <w:pPr>
        <w:tabs>
          <w:tab w:val="left" w:pos="630"/>
        </w:tabs>
        <w:spacing w:line="360" w:lineRule="auto"/>
        <w:ind w:firstLine="4800" w:firstLineChars="2000"/>
        <w:rPr>
          <w:rFonts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2AD8F0CD">
      <w:pPr>
        <w:pStyle w:val="11"/>
        <w:spacing w:line="360" w:lineRule="auto"/>
        <w:rPr>
          <w:rFonts w:ascii="宋体" w:hAnsi="宋体" w:cs="宋体"/>
          <w:color w:val="auto"/>
          <w:sz w:val="24"/>
          <w:highlight w:val="none"/>
        </w:rPr>
      </w:pPr>
    </w:p>
    <w:p w14:paraId="6A2125CB">
      <w:pPr>
        <w:pStyle w:val="11"/>
        <w:spacing w:line="360" w:lineRule="auto"/>
        <w:rPr>
          <w:rFonts w:ascii="宋体" w:hAnsi="宋体" w:cs="宋体"/>
          <w:color w:val="auto"/>
          <w:sz w:val="24"/>
          <w:highlight w:val="none"/>
        </w:rPr>
      </w:pPr>
    </w:p>
    <w:p w14:paraId="0E584772">
      <w:pPr>
        <w:pStyle w:val="11"/>
        <w:spacing w:line="360" w:lineRule="auto"/>
        <w:rPr>
          <w:rFonts w:ascii="宋体" w:hAnsi="宋体" w:cs="宋体"/>
          <w:color w:val="auto"/>
          <w:sz w:val="24"/>
          <w:highlight w:val="none"/>
        </w:rPr>
      </w:pPr>
      <w:r>
        <w:rPr>
          <w:rFonts w:hint="eastAsia" w:ascii="宋体" w:hAnsi="宋体" w:cs="宋体"/>
          <w:color w:val="auto"/>
          <w:sz w:val="24"/>
          <w:highlight w:val="none"/>
        </w:rPr>
        <w:br w:type="page"/>
      </w:r>
    </w:p>
    <w:p w14:paraId="4431082D">
      <w:pPr>
        <w:spacing w:line="360" w:lineRule="auto"/>
        <w:jc w:val="center"/>
        <w:outlineLvl w:val="1"/>
        <w:rPr>
          <w:rFonts w:ascii="宋体" w:hAnsi="宋体" w:eastAsia="宋体" w:cs="宋体"/>
          <w:b/>
          <w:color w:val="auto"/>
          <w:sz w:val="24"/>
          <w:highlight w:val="none"/>
        </w:rPr>
      </w:pPr>
      <w:bookmarkStart w:id="354" w:name="_Toc31978"/>
      <w:r>
        <w:rPr>
          <w:rFonts w:hint="eastAsia" w:ascii="宋体" w:hAnsi="宋体" w:eastAsia="宋体" w:cs="宋体"/>
          <w:b/>
          <w:color w:val="auto"/>
          <w:sz w:val="24"/>
          <w:highlight w:val="none"/>
        </w:rPr>
        <w:t>七、</w:t>
      </w:r>
      <w:bookmarkEnd w:id="354"/>
      <w:bookmarkStart w:id="355" w:name="_Toc23705"/>
      <w:r>
        <w:rPr>
          <w:rFonts w:hint="eastAsia" w:ascii="宋体" w:hAnsi="宋体" w:eastAsia="宋体" w:cs="宋体"/>
          <w:b/>
          <w:color w:val="auto"/>
          <w:sz w:val="24"/>
          <w:highlight w:val="none"/>
        </w:rPr>
        <w:t>诚信履约承诺函</w:t>
      </w:r>
      <w:bookmarkEnd w:id="355"/>
    </w:p>
    <w:p w14:paraId="37CC2AAE">
      <w:pPr>
        <w:spacing w:line="360" w:lineRule="auto"/>
        <w:rPr>
          <w:rFonts w:ascii="宋体" w:hAnsi="宋体" w:eastAsia="宋体" w:cs="宋体"/>
          <w:b/>
          <w:bCs/>
          <w:color w:val="auto"/>
          <w:sz w:val="24"/>
          <w:highlight w:val="none"/>
        </w:rPr>
      </w:pPr>
    </w:p>
    <w:p w14:paraId="4A7932E0">
      <w:pPr>
        <w:spacing w:line="36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rPr>
        <w:t>致：</w:t>
      </w:r>
      <w:r>
        <w:rPr>
          <w:rFonts w:hint="eastAsia" w:ascii="Times New Roman" w:hAnsi="Times New Roman" w:eastAsia="宋体" w:cs="Times New Roman"/>
          <w:b/>
          <w:bCs/>
          <w:color w:val="auto"/>
          <w:sz w:val="24"/>
          <w:highlight w:val="none"/>
          <w:u w:val="single"/>
          <w:lang w:val="en-US" w:eastAsia="zh-CN"/>
        </w:rPr>
        <w:t xml:space="preserve">              </w:t>
      </w:r>
      <w:r>
        <w:rPr>
          <w:rFonts w:hint="eastAsia" w:ascii="Times New Roman" w:hAnsi="Times New Roman" w:eastAsia="宋体" w:cs="Times New Roman"/>
          <w:b/>
          <w:bCs/>
          <w:color w:val="auto"/>
          <w:sz w:val="24"/>
          <w:highlight w:val="none"/>
          <w:lang w:eastAsia="zh-CN"/>
        </w:rPr>
        <w:t>（</w:t>
      </w:r>
      <w:r>
        <w:rPr>
          <w:rFonts w:hint="eastAsia" w:ascii="Times New Roman" w:hAnsi="Times New Roman" w:eastAsia="宋体" w:cs="Times New Roman"/>
          <w:b/>
          <w:bCs/>
          <w:color w:val="auto"/>
          <w:sz w:val="24"/>
          <w:highlight w:val="none"/>
          <w:lang w:val="en-US" w:eastAsia="zh-CN"/>
        </w:rPr>
        <w:t>采购人</w:t>
      </w:r>
      <w:r>
        <w:rPr>
          <w:rFonts w:hint="eastAsia" w:ascii="Times New Roman" w:hAnsi="Times New Roman" w:eastAsia="宋体" w:cs="Times New Roman"/>
          <w:b/>
          <w:bCs/>
          <w:color w:val="auto"/>
          <w:sz w:val="24"/>
          <w:highlight w:val="none"/>
          <w:lang w:eastAsia="zh-CN"/>
        </w:rPr>
        <w:t>）</w:t>
      </w:r>
    </w:p>
    <w:p w14:paraId="0389DF34">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4DF657FC">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（1）成交后无正当理由拒不与采购人签订政府采购合同；</w:t>
      </w:r>
    </w:p>
    <w:p w14:paraId="642EC9B8">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630D5B73">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08505B2B">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31047DE9">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2B83AD57">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6B01BFF">
      <w:pPr>
        <w:spacing w:line="360" w:lineRule="auto"/>
        <w:rPr>
          <w:rFonts w:ascii="宋体" w:hAnsi="宋体" w:eastAsia="宋体" w:cs="宋体"/>
          <w:bCs/>
          <w:color w:val="auto"/>
          <w:sz w:val="24"/>
          <w:highlight w:val="none"/>
        </w:rPr>
      </w:pPr>
    </w:p>
    <w:p w14:paraId="69AD1945">
      <w:pPr>
        <w:spacing w:line="360" w:lineRule="auto"/>
        <w:rPr>
          <w:rFonts w:ascii="宋体" w:hAnsi="宋体" w:eastAsia="宋体" w:cs="宋体"/>
          <w:bCs/>
          <w:color w:val="auto"/>
          <w:sz w:val="24"/>
          <w:highlight w:val="none"/>
        </w:rPr>
      </w:pPr>
    </w:p>
    <w:p w14:paraId="1C7A89F0">
      <w:pPr>
        <w:spacing w:line="360" w:lineRule="auto"/>
        <w:ind w:firstLine="4320" w:firstLineChars="1800"/>
        <w:rPr>
          <w:rFonts w:ascii="宋体" w:hAnsi="宋体" w:eastAsia="宋体" w:cs="宋体"/>
          <w:bCs/>
          <w:color w:val="auto"/>
          <w:sz w:val="24"/>
          <w:highlight w:val="none"/>
          <w:u w:val="single"/>
        </w:rPr>
      </w:pPr>
      <w:r>
        <w:rPr>
          <w:rFonts w:hint="default" w:ascii="Times New Roman" w:hAnsi="Times New Roman" w:eastAsia="宋体" w:cs="Times New Roman"/>
          <w:color w:val="auto"/>
          <w:sz w:val="24"/>
          <w:highlight w:val="none"/>
        </w:rPr>
        <w:t>供应商</w:t>
      </w:r>
      <w:r>
        <w:rPr>
          <w:rFonts w:hint="default" w:ascii="Times New Roman" w:hAnsi="Times New Roman" w:eastAsia="宋体" w:cs="Times New Roman"/>
          <w:color w:val="auto"/>
          <w:sz w:val="24"/>
          <w:highlight w:val="none"/>
          <w:lang w:eastAsia="zh-CN"/>
        </w:rPr>
        <w:t>（盖单位公章）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p>
    <w:p w14:paraId="6480674C">
      <w:pPr>
        <w:spacing w:line="360" w:lineRule="auto"/>
        <w:ind w:firstLine="4320" w:firstLineChars="1800"/>
        <w:rPr>
          <w:rFonts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186EF50F">
      <w:pPr>
        <w:widowControl/>
        <w:spacing w:line="360" w:lineRule="auto"/>
        <w:jc w:val="left"/>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3473969A">
      <w:pPr>
        <w:numPr>
          <w:ilvl w:val="0"/>
          <w:numId w:val="3"/>
        </w:numPr>
        <w:spacing w:line="360" w:lineRule="auto"/>
        <w:jc w:val="center"/>
        <w:outlineLvl w:val="1"/>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服务方案</w:t>
      </w:r>
    </w:p>
    <w:p w14:paraId="228690A8">
      <w:pPr>
        <w:spacing w:line="360" w:lineRule="auto"/>
        <w:ind w:firstLine="482" w:firstLineChars="200"/>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（格式供应商自行拟定）</w:t>
      </w:r>
    </w:p>
    <w:p w14:paraId="209E4C1D">
      <w:pPr>
        <w:pStyle w:val="21"/>
        <w:numPr>
          <w:ilvl w:val="0"/>
          <w:numId w:val="0"/>
        </w:numPr>
        <w:rPr>
          <w:rFonts w:hint="eastAsia"/>
          <w:highlight w:val="none"/>
          <w:lang w:eastAsia="zh-CN"/>
        </w:rPr>
      </w:pPr>
    </w:p>
    <w:p w14:paraId="0EF97B20">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3E99244F">
      <w:pPr>
        <w:numPr>
          <w:ilvl w:val="0"/>
          <w:numId w:val="3"/>
        </w:numPr>
        <w:spacing w:line="360" w:lineRule="auto"/>
        <w:jc w:val="center"/>
        <w:outlineLvl w:val="1"/>
        <w:rPr>
          <w:rFonts w:ascii="宋体" w:hAnsi="宋体" w:eastAsia="宋体" w:cs="宋体"/>
          <w:b/>
          <w:color w:val="auto"/>
          <w:sz w:val="24"/>
          <w:highlight w:val="none"/>
        </w:rPr>
      </w:pPr>
      <w:r>
        <w:rPr>
          <w:rFonts w:hint="eastAsia" w:ascii="宋体" w:hAnsi="宋体" w:eastAsia="宋体" w:cs="宋体"/>
          <w:b/>
          <w:color w:val="auto"/>
          <w:sz w:val="24"/>
          <w:highlight w:val="none"/>
        </w:rPr>
        <w:t>其他相关证明材料</w:t>
      </w:r>
    </w:p>
    <w:p w14:paraId="0FD19DAC">
      <w:pPr>
        <w:pStyle w:val="6"/>
        <w:rPr>
          <w:highlight w:val="none"/>
        </w:rPr>
      </w:pPr>
    </w:p>
    <w:p w14:paraId="7D519FB3">
      <w:pPr>
        <w:tabs>
          <w:tab w:val="left" w:pos="4620"/>
        </w:tabs>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提供符合磋商邀请、采购需求及评审方法和标准规定的相关证明文件。</w:t>
      </w:r>
    </w:p>
    <w:p w14:paraId="3D031E70">
      <w:pPr>
        <w:spacing w:line="360" w:lineRule="auto"/>
        <w:ind w:firstLine="435"/>
        <w:rPr>
          <w:rFonts w:ascii="宋体" w:hAnsi="宋体" w:eastAsia="宋体" w:cs="宋体"/>
          <w:color w:val="auto"/>
          <w:sz w:val="24"/>
          <w:highlight w:val="none"/>
        </w:rPr>
      </w:pPr>
    </w:p>
    <w:p w14:paraId="15BAA1AD">
      <w:pPr>
        <w:spacing w:line="360" w:lineRule="auto"/>
        <w:ind w:firstLine="480" w:firstLineChars="200"/>
        <w:rPr>
          <w:rFonts w:ascii="宋体" w:hAnsi="宋体" w:eastAsia="宋体" w:cs="宋体"/>
          <w:color w:val="auto"/>
          <w:sz w:val="24"/>
          <w:highlight w:val="none"/>
        </w:rPr>
      </w:pPr>
    </w:p>
    <w:p w14:paraId="19353470">
      <w:pPr>
        <w:rPr>
          <w:rFonts w:ascii="宋体" w:hAnsi="宋体" w:eastAsia="宋体" w:cs="宋体"/>
          <w:b/>
          <w:color w:val="auto"/>
          <w:sz w:val="44"/>
          <w:szCs w:val="44"/>
          <w:highlight w:val="none"/>
        </w:rPr>
      </w:pPr>
      <w:r>
        <w:rPr>
          <w:rFonts w:ascii="宋体" w:hAnsi="宋体" w:eastAsia="宋体" w:cs="宋体"/>
          <w:b/>
          <w:color w:val="auto"/>
          <w:sz w:val="44"/>
          <w:szCs w:val="44"/>
          <w:highlight w:val="none"/>
        </w:rPr>
        <w:br w:type="page"/>
      </w:r>
    </w:p>
    <w:p w14:paraId="465EF58F">
      <w:pPr>
        <w:widowControl/>
        <w:spacing w:line="360" w:lineRule="auto"/>
        <w:jc w:val="center"/>
        <w:outlineLvl w:val="0"/>
        <w:rPr>
          <w:rStyle w:val="27"/>
          <w:rFonts w:ascii="宋体" w:hAnsi="宋体" w:eastAsia="宋体" w:cs="宋体"/>
          <w:color w:val="auto"/>
          <w:highlight w:val="none"/>
        </w:rPr>
      </w:pPr>
      <w:bookmarkStart w:id="356" w:name="_Toc11908"/>
      <w:bookmarkStart w:id="357" w:name="_Toc3708"/>
      <w:bookmarkStart w:id="358" w:name="_Toc10444"/>
      <w:bookmarkStart w:id="359" w:name="_Toc7762"/>
      <w:bookmarkStart w:id="360" w:name="_Toc17335"/>
      <w:r>
        <w:rPr>
          <w:rStyle w:val="27"/>
          <w:rFonts w:hint="eastAsia" w:ascii="宋体" w:hAnsi="宋体" w:eastAsia="宋体" w:cs="宋体"/>
          <w:color w:val="auto"/>
          <w:highlight w:val="none"/>
        </w:rPr>
        <w:t>第七章  政府采购供应商询问函和质疑函范本</w:t>
      </w:r>
      <w:bookmarkEnd w:id="356"/>
      <w:bookmarkEnd w:id="357"/>
      <w:bookmarkEnd w:id="358"/>
      <w:bookmarkEnd w:id="359"/>
      <w:bookmarkEnd w:id="360"/>
    </w:p>
    <w:p w14:paraId="266FA10B">
      <w:pPr>
        <w:pStyle w:val="3"/>
        <w:spacing w:before="0" w:after="0" w:line="360" w:lineRule="auto"/>
        <w:jc w:val="center"/>
        <w:rPr>
          <w:rFonts w:ascii="宋体" w:hAnsi="宋体" w:eastAsia="宋体" w:cs="宋体"/>
          <w:color w:val="auto"/>
          <w:sz w:val="21"/>
          <w:szCs w:val="21"/>
          <w:highlight w:val="none"/>
        </w:rPr>
      </w:pPr>
      <w:bookmarkStart w:id="361" w:name="_Toc17792"/>
      <w:bookmarkStart w:id="362" w:name="_Toc8598"/>
      <w:bookmarkStart w:id="363" w:name="_Toc2142"/>
      <w:bookmarkStart w:id="364" w:name="_Toc8735"/>
      <w:r>
        <w:rPr>
          <w:rFonts w:hint="eastAsia" w:ascii="宋体" w:hAnsi="宋体" w:eastAsia="宋体" w:cs="宋体"/>
          <w:color w:val="auto"/>
          <w:sz w:val="21"/>
          <w:szCs w:val="21"/>
          <w:highlight w:val="none"/>
        </w:rPr>
        <w:t>询问函范本</w:t>
      </w:r>
      <w:bookmarkEnd w:id="361"/>
      <w:bookmarkEnd w:id="362"/>
      <w:bookmarkEnd w:id="363"/>
      <w:bookmarkEnd w:id="364"/>
    </w:p>
    <w:p w14:paraId="617E9DBB">
      <w:pPr>
        <w:adjustRightInd w:val="0"/>
        <w:snapToGrid w:val="0"/>
        <w:spacing w:line="360" w:lineRule="auto"/>
        <w:ind w:firstLine="480" w:firstLineChars="200"/>
        <w:jc w:val="center"/>
        <w:rPr>
          <w:rFonts w:ascii="宋体" w:hAnsi="宋体" w:eastAsia="宋体" w:cs="宋体"/>
          <w:b/>
          <w:bCs/>
          <w:color w:val="auto"/>
          <w:sz w:val="32"/>
          <w:szCs w:val="44"/>
          <w:highlight w:val="none"/>
        </w:rPr>
      </w:pPr>
      <w:r>
        <w:rPr>
          <w:rFonts w:hint="eastAsia" w:ascii="宋体" w:hAnsi="宋体" w:eastAsia="宋体" w:cs="宋体"/>
          <w:i/>
          <w:iCs/>
          <w:color w:val="auto"/>
          <w:sz w:val="24"/>
          <w:szCs w:val="24"/>
          <w:highlight w:val="none"/>
        </w:rPr>
        <w:t>（如为对采购文件或采购程序的询问或疑问，请按询问函范本格式附件进行提交）</w:t>
      </w:r>
    </w:p>
    <w:p w14:paraId="05F868C5">
      <w:pPr>
        <w:adjustRightInd w:val="0"/>
        <w:snapToGrid w:val="0"/>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致：采购人</w:t>
      </w:r>
    </w:p>
    <w:p w14:paraId="7F5A2467">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rPr>
        <w:t>（项目名称、编号)</w:t>
      </w:r>
      <w:r>
        <w:rPr>
          <w:rFonts w:hint="eastAsia" w:ascii="宋体" w:hAnsi="宋体" w:eastAsia="宋体" w:cs="宋体"/>
          <w:color w:val="auto"/>
          <w:sz w:val="24"/>
          <w:szCs w:val="24"/>
          <w:highlight w:val="none"/>
        </w:rPr>
        <w:t>的采购活动，现有以下内容(或条款)存在疑问(或无法理解)，特提出询问。</w:t>
      </w:r>
    </w:p>
    <w:p w14:paraId="65C45317">
      <w:pPr>
        <w:adjustRightInd w:val="0"/>
        <w:snapToGrid w:val="0"/>
        <w:spacing w:line="360" w:lineRule="auto"/>
        <w:ind w:firstLine="480" w:firstLineChars="200"/>
        <w:rPr>
          <w:rFonts w:ascii="宋体" w:hAnsi="宋体" w:eastAsia="宋体" w:cs="宋体"/>
          <w:color w:val="auto"/>
          <w:sz w:val="24"/>
          <w:szCs w:val="24"/>
          <w:highlight w:val="none"/>
        </w:rPr>
      </w:pPr>
      <w:bookmarkStart w:id="365" w:name="_Toc9092"/>
      <w:bookmarkStart w:id="366" w:name="_Toc26386"/>
      <w:bookmarkStart w:id="367" w:name="_Toc5234"/>
      <w:r>
        <w:rPr>
          <w:rFonts w:hint="eastAsia" w:ascii="宋体" w:hAnsi="宋体" w:eastAsia="宋体" w:cs="宋体"/>
          <w:color w:val="auto"/>
          <w:sz w:val="24"/>
          <w:szCs w:val="24"/>
          <w:highlight w:val="none"/>
        </w:rPr>
        <w:t>一、(事项一)</w:t>
      </w:r>
      <w:bookmarkEnd w:id="365"/>
      <w:bookmarkEnd w:id="366"/>
      <w:bookmarkEnd w:id="367"/>
    </w:p>
    <w:p w14:paraId="6814BC18">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76D4D152">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3C9C6E1C">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364DC4FA">
      <w:pPr>
        <w:adjustRightInd w:val="0"/>
        <w:snapToGrid w:val="0"/>
        <w:spacing w:line="360" w:lineRule="auto"/>
        <w:ind w:firstLine="480" w:firstLineChars="200"/>
        <w:rPr>
          <w:rFonts w:ascii="宋体" w:hAnsi="宋体" w:eastAsia="宋体" w:cs="宋体"/>
          <w:color w:val="auto"/>
          <w:sz w:val="24"/>
          <w:szCs w:val="24"/>
          <w:highlight w:val="none"/>
        </w:rPr>
      </w:pPr>
      <w:bookmarkStart w:id="368" w:name="_Toc17582"/>
      <w:bookmarkStart w:id="369" w:name="_Toc9273"/>
      <w:bookmarkStart w:id="370" w:name="_Toc13280"/>
      <w:r>
        <w:rPr>
          <w:rFonts w:hint="eastAsia" w:ascii="宋体" w:hAnsi="宋体" w:eastAsia="宋体" w:cs="宋体"/>
          <w:color w:val="auto"/>
          <w:sz w:val="24"/>
          <w:szCs w:val="24"/>
          <w:highlight w:val="none"/>
        </w:rPr>
        <w:t>二、(事项二)</w:t>
      </w:r>
      <w:bookmarkEnd w:id="368"/>
      <w:bookmarkEnd w:id="369"/>
      <w:bookmarkEnd w:id="370"/>
    </w:p>
    <w:p w14:paraId="10495007">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5CA890D">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70057C75">
      <w:pPr>
        <w:spacing w:line="360" w:lineRule="auto"/>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3FE00EF4">
      <w:pPr>
        <w:spacing w:line="360" w:lineRule="auto"/>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606A0FB0">
      <w:pPr>
        <w:tabs>
          <w:tab w:val="left" w:pos="630"/>
        </w:tabs>
        <w:spacing w:line="360" w:lineRule="auto"/>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17283B5">
      <w:pPr>
        <w:spacing w:line="360" w:lineRule="auto"/>
        <w:rPr>
          <w:rFonts w:ascii="宋体" w:hAnsi="宋体" w:eastAsia="宋体" w:cs="宋体"/>
          <w:b/>
          <w:color w:val="auto"/>
          <w:sz w:val="52"/>
          <w:highlight w:val="none"/>
        </w:rPr>
      </w:pPr>
      <w:r>
        <w:rPr>
          <w:rFonts w:hint="eastAsia" w:ascii="宋体" w:hAnsi="宋体" w:eastAsia="宋体" w:cs="宋体"/>
          <w:b/>
          <w:bCs/>
          <w:color w:val="auto"/>
          <w:sz w:val="32"/>
          <w:szCs w:val="44"/>
          <w:highlight w:val="none"/>
        </w:rPr>
        <w:br w:type="page"/>
      </w:r>
    </w:p>
    <w:p w14:paraId="222DF626">
      <w:pPr>
        <w:pStyle w:val="3"/>
        <w:spacing w:before="0" w:after="0" w:line="360" w:lineRule="auto"/>
        <w:jc w:val="center"/>
        <w:rPr>
          <w:rFonts w:ascii="宋体" w:hAnsi="宋体" w:eastAsia="宋体" w:cs="宋体"/>
          <w:color w:val="auto"/>
          <w:sz w:val="21"/>
          <w:szCs w:val="21"/>
          <w:highlight w:val="none"/>
        </w:rPr>
      </w:pPr>
      <w:bookmarkStart w:id="371" w:name="_Toc1771"/>
      <w:bookmarkStart w:id="372" w:name="_Toc14064"/>
      <w:bookmarkStart w:id="373" w:name="_Toc26673"/>
      <w:bookmarkStart w:id="374" w:name="_Toc6990"/>
      <w:r>
        <w:rPr>
          <w:rFonts w:hint="eastAsia" w:ascii="宋体" w:hAnsi="宋体" w:eastAsia="宋体" w:cs="宋体"/>
          <w:color w:val="auto"/>
          <w:sz w:val="21"/>
          <w:szCs w:val="21"/>
          <w:highlight w:val="none"/>
        </w:rPr>
        <w:t>质疑函范本</w:t>
      </w:r>
      <w:bookmarkEnd w:id="371"/>
      <w:bookmarkEnd w:id="372"/>
      <w:bookmarkEnd w:id="373"/>
      <w:bookmarkEnd w:id="374"/>
    </w:p>
    <w:p w14:paraId="6DE1146B">
      <w:pPr>
        <w:adjustRightInd w:val="0"/>
        <w:snapToGrid w:val="0"/>
        <w:spacing w:line="360" w:lineRule="auto"/>
        <w:rPr>
          <w:rFonts w:ascii="宋体" w:hAnsi="宋体" w:eastAsia="宋体" w:cs="宋体"/>
          <w:b/>
          <w:bCs/>
          <w:color w:val="auto"/>
          <w:sz w:val="24"/>
          <w:szCs w:val="24"/>
          <w:highlight w:val="none"/>
        </w:rPr>
      </w:pPr>
      <w:bookmarkStart w:id="375" w:name="_Toc2994"/>
      <w:bookmarkStart w:id="376" w:name="_Toc29510"/>
      <w:bookmarkStart w:id="377" w:name="_Toc4854"/>
      <w:r>
        <w:rPr>
          <w:rFonts w:hint="eastAsia" w:ascii="宋体" w:hAnsi="宋体" w:eastAsia="宋体" w:cs="宋体"/>
          <w:b/>
          <w:bCs/>
          <w:color w:val="auto"/>
          <w:sz w:val="24"/>
          <w:szCs w:val="24"/>
          <w:highlight w:val="none"/>
        </w:rPr>
        <w:t>一、质疑供应商基本信息</w:t>
      </w:r>
      <w:bookmarkEnd w:id="375"/>
      <w:bookmarkEnd w:id="376"/>
      <w:bookmarkEnd w:id="377"/>
    </w:p>
    <w:p w14:paraId="19E59F52">
      <w:pPr>
        <w:adjustRightInd w:val="0"/>
        <w:snapToGrid w:val="0"/>
        <w:spacing w:line="360" w:lineRule="auto"/>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189EBAA9">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348E51AF">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32869D12">
      <w:pPr>
        <w:adjustRightInd w:val="0"/>
        <w:snapToGrid w:val="0"/>
        <w:spacing w:line="360" w:lineRule="auto"/>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6E659BD2">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03686BC4">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4F35EEF8">
      <w:pPr>
        <w:adjustRightInd w:val="0"/>
        <w:snapToGrid w:val="0"/>
        <w:spacing w:line="360" w:lineRule="auto"/>
        <w:rPr>
          <w:rFonts w:ascii="宋体" w:hAnsi="宋体" w:eastAsia="宋体" w:cs="宋体"/>
          <w:b/>
          <w:bCs/>
          <w:color w:val="auto"/>
          <w:sz w:val="24"/>
          <w:szCs w:val="24"/>
          <w:highlight w:val="none"/>
        </w:rPr>
      </w:pPr>
      <w:bookmarkStart w:id="378" w:name="_Toc28130"/>
      <w:bookmarkStart w:id="379" w:name="_Toc17432"/>
      <w:bookmarkStart w:id="380" w:name="_Toc31042"/>
      <w:r>
        <w:rPr>
          <w:rFonts w:hint="eastAsia" w:ascii="宋体" w:hAnsi="宋体" w:eastAsia="宋体" w:cs="宋体"/>
          <w:b/>
          <w:bCs/>
          <w:color w:val="auto"/>
          <w:sz w:val="24"/>
          <w:szCs w:val="24"/>
          <w:highlight w:val="none"/>
        </w:rPr>
        <w:t>二、质疑项目基本情况</w:t>
      </w:r>
      <w:bookmarkEnd w:id="378"/>
      <w:bookmarkEnd w:id="379"/>
      <w:bookmarkEnd w:id="380"/>
    </w:p>
    <w:p w14:paraId="2C4B5A3D">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24A748E4">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36F61211">
      <w:pPr>
        <w:adjustRightInd w:val="0"/>
        <w:snapToGrid w:val="0"/>
        <w:spacing w:line="360" w:lineRule="auto"/>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036B4921">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625227C2">
      <w:pPr>
        <w:adjustRightInd w:val="0"/>
        <w:snapToGrid w:val="0"/>
        <w:spacing w:line="360" w:lineRule="auto"/>
        <w:rPr>
          <w:rFonts w:ascii="宋体" w:hAnsi="宋体" w:eastAsia="宋体" w:cs="宋体"/>
          <w:b/>
          <w:bCs/>
          <w:color w:val="auto"/>
          <w:sz w:val="24"/>
          <w:szCs w:val="24"/>
          <w:highlight w:val="none"/>
        </w:rPr>
      </w:pPr>
      <w:bookmarkStart w:id="381" w:name="_Toc6486"/>
      <w:bookmarkStart w:id="382" w:name="_Toc20587"/>
      <w:bookmarkStart w:id="383" w:name="_Toc13894"/>
      <w:r>
        <w:rPr>
          <w:rFonts w:hint="eastAsia" w:ascii="宋体" w:hAnsi="宋体" w:eastAsia="宋体" w:cs="宋体"/>
          <w:b/>
          <w:bCs/>
          <w:color w:val="auto"/>
          <w:sz w:val="24"/>
          <w:szCs w:val="24"/>
          <w:highlight w:val="none"/>
        </w:rPr>
        <w:t>三、质疑事项具体内容</w:t>
      </w:r>
      <w:bookmarkEnd w:id="381"/>
      <w:bookmarkEnd w:id="382"/>
      <w:bookmarkEnd w:id="383"/>
    </w:p>
    <w:p w14:paraId="261703F4">
      <w:pPr>
        <w:adjustRightInd w:val="0"/>
        <w:snapToGrid w:val="0"/>
        <w:spacing w:line="360" w:lineRule="auto"/>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51A1A5C2">
      <w:pPr>
        <w:adjustRightInd w:val="0"/>
        <w:snapToGrid w:val="0"/>
        <w:spacing w:line="360" w:lineRule="auto"/>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1085833E">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36DCF113">
      <w:pPr>
        <w:adjustRightInd w:val="0"/>
        <w:snapToGrid w:val="0"/>
        <w:spacing w:line="360" w:lineRule="auto"/>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6FBD4395">
      <w:pPr>
        <w:adjustRightInd w:val="0"/>
        <w:snapToGrid w:val="0"/>
        <w:spacing w:line="360" w:lineRule="auto"/>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4FD991A3">
      <w:pPr>
        <w:adjustRightInd w:val="0"/>
        <w:snapToGrid w:val="0"/>
        <w:spacing w:line="360" w:lineRule="auto"/>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133B2DBB">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D008F98">
      <w:pPr>
        <w:adjustRightInd w:val="0"/>
        <w:snapToGrid w:val="0"/>
        <w:spacing w:line="360" w:lineRule="auto"/>
        <w:rPr>
          <w:rFonts w:ascii="宋体" w:hAnsi="宋体" w:eastAsia="宋体" w:cs="宋体"/>
          <w:b/>
          <w:bCs/>
          <w:color w:val="auto"/>
          <w:sz w:val="24"/>
          <w:szCs w:val="24"/>
          <w:highlight w:val="none"/>
        </w:rPr>
      </w:pPr>
      <w:bookmarkStart w:id="384" w:name="_Toc20470"/>
      <w:bookmarkStart w:id="385" w:name="_Toc32755"/>
      <w:bookmarkStart w:id="386" w:name="_Toc3947"/>
      <w:r>
        <w:rPr>
          <w:rFonts w:hint="eastAsia" w:ascii="宋体" w:hAnsi="宋体" w:eastAsia="宋体" w:cs="宋体"/>
          <w:b/>
          <w:bCs/>
          <w:color w:val="auto"/>
          <w:sz w:val="24"/>
          <w:szCs w:val="24"/>
          <w:highlight w:val="none"/>
        </w:rPr>
        <w:t>四、与质疑事项相关的质疑请求</w:t>
      </w:r>
      <w:bookmarkEnd w:id="384"/>
      <w:bookmarkEnd w:id="385"/>
      <w:bookmarkEnd w:id="386"/>
    </w:p>
    <w:p w14:paraId="16BECDC8">
      <w:pPr>
        <w:adjustRightInd w:val="0"/>
        <w:snapToGrid w:val="0"/>
        <w:spacing w:line="360" w:lineRule="auto"/>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5ED45C1F">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盖单位公章</w:t>
      </w:r>
      <w:r>
        <w:rPr>
          <w:rFonts w:hint="eastAsia" w:ascii="宋体" w:hAnsi="宋体" w:eastAsia="宋体" w:cs="宋体"/>
          <w:color w:val="auto"/>
          <w:sz w:val="24"/>
          <w:szCs w:val="24"/>
          <w:highlight w:val="none"/>
        </w:rPr>
        <w:t xml:space="preserve">)：                   公章：                      </w:t>
      </w:r>
    </w:p>
    <w:p w14:paraId="6DD53CA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14B036A2">
      <w:pPr>
        <w:widowControl/>
        <w:spacing w:line="360" w:lineRule="auto"/>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4A1FB53">
      <w:pPr>
        <w:spacing w:line="360" w:lineRule="auto"/>
        <w:rPr>
          <w:rFonts w:ascii="宋体" w:hAnsi="宋体" w:eastAsia="宋体" w:cs="宋体"/>
          <w:b/>
          <w:color w:val="auto"/>
          <w:sz w:val="28"/>
          <w:szCs w:val="32"/>
          <w:highlight w:val="none"/>
        </w:rPr>
      </w:pPr>
      <w:bookmarkStart w:id="387" w:name="_Toc8368"/>
      <w:bookmarkStart w:id="388" w:name="_Toc12193"/>
      <w:bookmarkStart w:id="389" w:name="_Toc18853"/>
      <w:bookmarkStart w:id="390" w:name="_Toc29597"/>
      <w:bookmarkStart w:id="391" w:name="_Toc21667"/>
      <w:r>
        <w:rPr>
          <w:rFonts w:hint="eastAsia" w:ascii="宋体" w:hAnsi="宋体" w:eastAsia="宋体" w:cs="宋体"/>
          <w:b/>
          <w:color w:val="auto"/>
          <w:sz w:val="28"/>
          <w:szCs w:val="32"/>
          <w:highlight w:val="none"/>
        </w:rPr>
        <w:t>质疑函制作说明：</w:t>
      </w:r>
      <w:bookmarkEnd w:id="387"/>
      <w:bookmarkEnd w:id="388"/>
      <w:bookmarkEnd w:id="389"/>
      <w:bookmarkEnd w:id="390"/>
      <w:bookmarkEnd w:id="391"/>
    </w:p>
    <w:p w14:paraId="2F19F22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09B15B8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5EADF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6BF1948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1236CC6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57EE8E7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AA56760">
      <w:pPr>
        <w:pStyle w:val="22"/>
        <w:rPr>
          <w:color w:val="auto"/>
          <w:highlight w:val="none"/>
        </w:rPr>
      </w:pPr>
    </w:p>
    <w:sectPr>
      <w:headerReference r:id="rId7" w:type="default"/>
      <w:footerReference r:id="rId8" w:type="default"/>
      <w:pgSz w:w="11905" w:h="16838"/>
      <w:pgMar w:top="1417" w:right="1417" w:bottom="1417" w:left="1417" w:header="850"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0967C">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BAF5E">
    <w:pPr>
      <w:spacing w:line="176" w:lineRule="auto"/>
      <w:ind w:left="4356"/>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8BE9F">
    <w:pPr>
      <w:spacing w:line="176" w:lineRule="auto"/>
      <w:ind w:left="43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8754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8287548">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5AE53">
    <w:pPr>
      <w:pStyle w:val="12"/>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92C2A">
                          <w:pPr>
                            <w:pStyle w:val="1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1692C2A">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588EC">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02983">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249E4"/>
    <w:multiLevelType w:val="singleLevel"/>
    <w:tmpl w:val="98E249E4"/>
    <w:lvl w:ilvl="0" w:tentative="0">
      <w:start w:val="8"/>
      <w:numFmt w:val="chineseCounting"/>
      <w:suff w:val="nothing"/>
      <w:lvlText w:val="%1、"/>
      <w:lvlJc w:val="left"/>
      <w:rPr>
        <w:rFonts w:hint="eastAsia"/>
      </w:rPr>
    </w:lvl>
  </w:abstractNum>
  <w:abstractNum w:abstractNumId="1">
    <w:nsid w:val="45CB8953"/>
    <w:multiLevelType w:val="singleLevel"/>
    <w:tmpl w:val="45CB8953"/>
    <w:lvl w:ilvl="0" w:tentative="0">
      <w:start w:val="1"/>
      <w:numFmt w:val="decimal"/>
      <w:lvlText w:val="%1."/>
      <w:lvlJc w:val="left"/>
      <w:pPr>
        <w:ind w:left="425" w:hanging="425"/>
      </w:pPr>
      <w:rPr>
        <w:rFonts w:hint="default"/>
      </w:rPr>
    </w:lvl>
  </w:abstractNum>
  <w:abstractNum w:abstractNumId="2">
    <w:nsid w:val="63E401A9"/>
    <w:multiLevelType w:val="singleLevel"/>
    <w:tmpl w:val="63E401A9"/>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jZTRiYjgzNGQ5MDI5NDI0ODQ3OWIzZDRjYjA0OWMifQ=="/>
  </w:docVars>
  <w:rsids>
    <w:rsidRoot w:val="00000000"/>
    <w:rsid w:val="00264E69"/>
    <w:rsid w:val="00423C6D"/>
    <w:rsid w:val="006770AF"/>
    <w:rsid w:val="00936276"/>
    <w:rsid w:val="011A7F6F"/>
    <w:rsid w:val="0156177E"/>
    <w:rsid w:val="016F283F"/>
    <w:rsid w:val="01BD17FD"/>
    <w:rsid w:val="01F42D45"/>
    <w:rsid w:val="01F758EA"/>
    <w:rsid w:val="02873BB9"/>
    <w:rsid w:val="030B6008"/>
    <w:rsid w:val="036902F4"/>
    <w:rsid w:val="03772173"/>
    <w:rsid w:val="039E740C"/>
    <w:rsid w:val="03B804CE"/>
    <w:rsid w:val="03C11464"/>
    <w:rsid w:val="03F36CAE"/>
    <w:rsid w:val="040C6A6B"/>
    <w:rsid w:val="041C0473"/>
    <w:rsid w:val="04576AAB"/>
    <w:rsid w:val="04623128"/>
    <w:rsid w:val="04A24CDA"/>
    <w:rsid w:val="04A34C5C"/>
    <w:rsid w:val="04D550AF"/>
    <w:rsid w:val="04E946B7"/>
    <w:rsid w:val="04EB56DC"/>
    <w:rsid w:val="05252831"/>
    <w:rsid w:val="052B2F21"/>
    <w:rsid w:val="06510766"/>
    <w:rsid w:val="06523C1F"/>
    <w:rsid w:val="06954AF6"/>
    <w:rsid w:val="06DF0599"/>
    <w:rsid w:val="070F6035"/>
    <w:rsid w:val="073F4A62"/>
    <w:rsid w:val="07844599"/>
    <w:rsid w:val="07A103C5"/>
    <w:rsid w:val="088840F9"/>
    <w:rsid w:val="099A7C5E"/>
    <w:rsid w:val="0A9E2BE4"/>
    <w:rsid w:val="0AFF4C34"/>
    <w:rsid w:val="0B0B182B"/>
    <w:rsid w:val="0B4E1717"/>
    <w:rsid w:val="0BBA6DAD"/>
    <w:rsid w:val="0BC32105"/>
    <w:rsid w:val="0C4B75B3"/>
    <w:rsid w:val="0CA57A5D"/>
    <w:rsid w:val="0CBE28CD"/>
    <w:rsid w:val="0CC72234"/>
    <w:rsid w:val="0D0E001F"/>
    <w:rsid w:val="0D5154EF"/>
    <w:rsid w:val="0D692839"/>
    <w:rsid w:val="0D8B27AF"/>
    <w:rsid w:val="0DAE2941"/>
    <w:rsid w:val="0DF30354"/>
    <w:rsid w:val="0EE72CB2"/>
    <w:rsid w:val="0F2E6AE0"/>
    <w:rsid w:val="0F9718DF"/>
    <w:rsid w:val="0F9811B3"/>
    <w:rsid w:val="0F993AB0"/>
    <w:rsid w:val="0FC013F8"/>
    <w:rsid w:val="10216C02"/>
    <w:rsid w:val="10EC17B7"/>
    <w:rsid w:val="11001706"/>
    <w:rsid w:val="116A6B7F"/>
    <w:rsid w:val="11B60016"/>
    <w:rsid w:val="13135F72"/>
    <w:rsid w:val="13715411"/>
    <w:rsid w:val="139B0DEE"/>
    <w:rsid w:val="14812F7B"/>
    <w:rsid w:val="14EC25C7"/>
    <w:rsid w:val="15C44759"/>
    <w:rsid w:val="167F4E7B"/>
    <w:rsid w:val="16A448E1"/>
    <w:rsid w:val="16BA2357"/>
    <w:rsid w:val="16BF1B00"/>
    <w:rsid w:val="16C531D6"/>
    <w:rsid w:val="17046F7B"/>
    <w:rsid w:val="17297457"/>
    <w:rsid w:val="172D17AE"/>
    <w:rsid w:val="17312619"/>
    <w:rsid w:val="17321EED"/>
    <w:rsid w:val="179444CF"/>
    <w:rsid w:val="17FF6273"/>
    <w:rsid w:val="183C74C7"/>
    <w:rsid w:val="18B96776"/>
    <w:rsid w:val="18CA270E"/>
    <w:rsid w:val="18FE29CF"/>
    <w:rsid w:val="1A583902"/>
    <w:rsid w:val="1AF71484"/>
    <w:rsid w:val="1B2304CB"/>
    <w:rsid w:val="1B970EB9"/>
    <w:rsid w:val="1C1D0307"/>
    <w:rsid w:val="1C872925"/>
    <w:rsid w:val="1CC9529A"/>
    <w:rsid w:val="1CEC2B3E"/>
    <w:rsid w:val="1D1D600C"/>
    <w:rsid w:val="1D2B18B9"/>
    <w:rsid w:val="1D9751A0"/>
    <w:rsid w:val="1DAC357D"/>
    <w:rsid w:val="1DC90D00"/>
    <w:rsid w:val="1E0F7C9D"/>
    <w:rsid w:val="1E84033E"/>
    <w:rsid w:val="1EF53F2C"/>
    <w:rsid w:val="1F3B76DF"/>
    <w:rsid w:val="1F8B2AE2"/>
    <w:rsid w:val="1F95570F"/>
    <w:rsid w:val="1FED10A7"/>
    <w:rsid w:val="20230F6D"/>
    <w:rsid w:val="204911E8"/>
    <w:rsid w:val="207F2647"/>
    <w:rsid w:val="208546BF"/>
    <w:rsid w:val="20862CE6"/>
    <w:rsid w:val="212E3725"/>
    <w:rsid w:val="21667363"/>
    <w:rsid w:val="21983295"/>
    <w:rsid w:val="21D70DF2"/>
    <w:rsid w:val="22056B7C"/>
    <w:rsid w:val="225C0911"/>
    <w:rsid w:val="22AE467E"/>
    <w:rsid w:val="22BF5522"/>
    <w:rsid w:val="22C56648"/>
    <w:rsid w:val="22F8223D"/>
    <w:rsid w:val="23005595"/>
    <w:rsid w:val="23760B11"/>
    <w:rsid w:val="23B0550D"/>
    <w:rsid w:val="23BB77E8"/>
    <w:rsid w:val="23FF0B9F"/>
    <w:rsid w:val="241430A6"/>
    <w:rsid w:val="24217571"/>
    <w:rsid w:val="24AA3A0B"/>
    <w:rsid w:val="24AA7567"/>
    <w:rsid w:val="2502031E"/>
    <w:rsid w:val="251F7F55"/>
    <w:rsid w:val="2563725D"/>
    <w:rsid w:val="25FD25D3"/>
    <w:rsid w:val="261F544A"/>
    <w:rsid w:val="26311CB5"/>
    <w:rsid w:val="27492919"/>
    <w:rsid w:val="27565784"/>
    <w:rsid w:val="27736336"/>
    <w:rsid w:val="283D14DA"/>
    <w:rsid w:val="2948584E"/>
    <w:rsid w:val="294F692F"/>
    <w:rsid w:val="2A1F09F7"/>
    <w:rsid w:val="2A420BDE"/>
    <w:rsid w:val="2A465F84"/>
    <w:rsid w:val="2AE13EFE"/>
    <w:rsid w:val="2AEB1060"/>
    <w:rsid w:val="2B272A19"/>
    <w:rsid w:val="2B6D12EE"/>
    <w:rsid w:val="2B804123"/>
    <w:rsid w:val="2BD4136D"/>
    <w:rsid w:val="2C293467"/>
    <w:rsid w:val="2C4B2202"/>
    <w:rsid w:val="2C70553A"/>
    <w:rsid w:val="2C8312AC"/>
    <w:rsid w:val="2CD431F9"/>
    <w:rsid w:val="2D2D31A6"/>
    <w:rsid w:val="2D7C1CBC"/>
    <w:rsid w:val="2DA95B36"/>
    <w:rsid w:val="2DB9081B"/>
    <w:rsid w:val="2E1E4633"/>
    <w:rsid w:val="2E8629B8"/>
    <w:rsid w:val="2EC6085B"/>
    <w:rsid w:val="2F01649B"/>
    <w:rsid w:val="2F447DE9"/>
    <w:rsid w:val="2FC83556"/>
    <w:rsid w:val="2FDB2CCA"/>
    <w:rsid w:val="2FF87D20"/>
    <w:rsid w:val="30136A22"/>
    <w:rsid w:val="3095731D"/>
    <w:rsid w:val="30C0743E"/>
    <w:rsid w:val="30DF7E9D"/>
    <w:rsid w:val="312863E3"/>
    <w:rsid w:val="31856B17"/>
    <w:rsid w:val="32E912AE"/>
    <w:rsid w:val="331F744C"/>
    <w:rsid w:val="333252F7"/>
    <w:rsid w:val="33927FA5"/>
    <w:rsid w:val="340F73E6"/>
    <w:rsid w:val="347E456C"/>
    <w:rsid w:val="34CE1050"/>
    <w:rsid w:val="35262C3A"/>
    <w:rsid w:val="356B2C7A"/>
    <w:rsid w:val="35AF0E81"/>
    <w:rsid w:val="35CA5862"/>
    <w:rsid w:val="35DE3514"/>
    <w:rsid w:val="3684230E"/>
    <w:rsid w:val="36CE3589"/>
    <w:rsid w:val="373C4996"/>
    <w:rsid w:val="374B6987"/>
    <w:rsid w:val="37CF580A"/>
    <w:rsid w:val="38477A29"/>
    <w:rsid w:val="38F31085"/>
    <w:rsid w:val="38FE7A29"/>
    <w:rsid w:val="3905043C"/>
    <w:rsid w:val="39074B30"/>
    <w:rsid w:val="39D76BF8"/>
    <w:rsid w:val="39EC56AB"/>
    <w:rsid w:val="39F552D0"/>
    <w:rsid w:val="3A2B6F44"/>
    <w:rsid w:val="3AF15A98"/>
    <w:rsid w:val="3BCC2061"/>
    <w:rsid w:val="3BDC04F6"/>
    <w:rsid w:val="3BED5DF3"/>
    <w:rsid w:val="3BF22A75"/>
    <w:rsid w:val="3C340332"/>
    <w:rsid w:val="3C667DC0"/>
    <w:rsid w:val="3C750B88"/>
    <w:rsid w:val="3D1B6DFC"/>
    <w:rsid w:val="3DDA0A65"/>
    <w:rsid w:val="3DFF227A"/>
    <w:rsid w:val="3E097DBF"/>
    <w:rsid w:val="3E686071"/>
    <w:rsid w:val="3E7358EE"/>
    <w:rsid w:val="3F23643C"/>
    <w:rsid w:val="3F635F34"/>
    <w:rsid w:val="3F6A23FD"/>
    <w:rsid w:val="3FC779B0"/>
    <w:rsid w:val="40B41A41"/>
    <w:rsid w:val="40D479EE"/>
    <w:rsid w:val="40E816EB"/>
    <w:rsid w:val="40FE38B3"/>
    <w:rsid w:val="41306BEE"/>
    <w:rsid w:val="414F176A"/>
    <w:rsid w:val="41AF52F5"/>
    <w:rsid w:val="42891A9A"/>
    <w:rsid w:val="428A7C17"/>
    <w:rsid w:val="428F7D3E"/>
    <w:rsid w:val="42E3660E"/>
    <w:rsid w:val="434D3A87"/>
    <w:rsid w:val="43E2040C"/>
    <w:rsid w:val="44114AB5"/>
    <w:rsid w:val="441D5B50"/>
    <w:rsid w:val="44823213"/>
    <w:rsid w:val="44AA6CA2"/>
    <w:rsid w:val="44AE0556"/>
    <w:rsid w:val="44E01648"/>
    <w:rsid w:val="452B268D"/>
    <w:rsid w:val="45886F23"/>
    <w:rsid w:val="45BE686B"/>
    <w:rsid w:val="46843C64"/>
    <w:rsid w:val="46F030A7"/>
    <w:rsid w:val="4712319E"/>
    <w:rsid w:val="47881532"/>
    <w:rsid w:val="48D13E6E"/>
    <w:rsid w:val="48EB7FCA"/>
    <w:rsid w:val="48EC5AF0"/>
    <w:rsid w:val="49E012F6"/>
    <w:rsid w:val="4AB12B4E"/>
    <w:rsid w:val="4ADE3E57"/>
    <w:rsid w:val="4B2C6678"/>
    <w:rsid w:val="4B663938"/>
    <w:rsid w:val="4B9E3585"/>
    <w:rsid w:val="4BC214A2"/>
    <w:rsid w:val="4BEB0912"/>
    <w:rsid w:val="4BF03B4A"/>
    <w:rsid w:val="4C2866BD"/>
    <w:rsid w:val="4CCA439B"/>
    <w:rsid w:val="4D386F9E"/>
    <w:rsid w:val="4DBF082B"/>
    <w:rsid w:val="4DC91B7B"/>
    <w:rsid w:val="4E510285"/>
    <w:rsid w:val="4EF15C0F"/>
    <w:rsid w:val="4F0040A4"/>
    <w:rsid w:val="4F20252F"/>
    <w:rsid w:val="4FD5235B"/>
    <w:rsid w:val="500100D3"/>
    <w:rsid w:val="50322C3F"/>
    <w:rsid w:val="506D5769"/>
    <w:rsid w:val="50CA4673"/>
    <w:rsid w:val="50D43A3A"/>
    <w:rsid w:val="51346287"/>
    <w:rsid w:val="51422751"/>
    <w:rsid w:val="51840DCF"/>
    <w:rsid w:val="518B52F6"/>
    <w:rsid w:val="518B6D0E"/>
    <w:rsid w:val="523A5B1F"/>
    <w:rsid w:val="525766D1"/>
    <w:rsid w:val="53083527"/>
    <w:rsid w:val="532E7431"/>
    <w:rsid w:val="53426A39"/>
    <w:rsid w:val="53953A49"/>
    <w:rsid w:val="53A913E3"/>
    <w:rsid w:val="53FF02DE"/>
    <w:rsid w:val="54177EC5"/>
    <w:rsid w:val="543547EF"/>
    <w:rsid w:val="54A53658"/>
    <w:rsid w:val="54B43966"/>
    <w:rsid w:val="54BA6AA3"/>
    <w:rsid w:val="54D9161F"/>
    <w:rsid w:val="55020B76"/>
    <w:rsid w:val="55313209"/>
    <w:rsid w:val="556077FC"/>
    <w:rsid w:val="5563713A"/>
    <w:rsid w:val="564D6166"/>
    <w:rsid w:val="57233722"/>
    <w:rsid w:val="57250B4B"/>
    <w:rsid w:val="572A43B4"/>
    <w:rsid w:val="572B0750"/>
    <w:rsid w:val="577C44E3"/>
    <w:rsid w:val="5800555E"/>
    <w:rsid w:val="58553347"/>
    <w:rsid w:val="58922210"/>
    <w:rsid w:val="58BE1257"/>
    <w:rsid w:val="58D41A42"/>
    <w:rsid w:val="58F76517"/>
    <w:rsid w:val="59926240"/>
    <w:rsid w:val="5A732C66"/>
    <w:rsid w:val="5AA4622B"/>
    <w:rsid w:val="5AFE3B8D"/>
    <w:rsid w:val="5B8F6EDB"/>
    <w:rsid w:val="5B9C7B1B"/>
    <w:rsid w:val="5BFC5BF3"/>
    <w:rsid w:val="5C871960"/>
    <w:rsid w:val="5C877BB2"/>
    <w:rsid w:val="5D1F428F"/>
    <w:rsid w:val="5D586AB3"/>
    <w:rsid w:val="5D5A3DD4"/>
    <w:rsid w:val="5DDB5030"/>
    <w:rsid w:val="5E1E143E"/>
    <w:rsid w:val="5F1119B5"/>
    <w:rsid w:val="5F5226F9"/>
    <w:rsid w:val="5F8F1CD2"/>
    <w:rsid w:val="5FDA624B"/>
    <w:rsid w:val="5FE873D0"/>
    <w:rsid w:val="6007722E"/>
    <w:rsid w:val="6117739D"/>
    <w:rsid w:val="6161311D"/>
    <w:rsid w:val="61E73B15"/>
    <w:rsid w:val="6236124D"/>
    <w:rsid w:val="63273E9D"/>
    <w:rsid w:val="63740BAD"/>
    <w:rsid w:val="63E052D4"/>
    <w:rsid w:val="63E07A4B"/>
    <w:rsid w:val="6428738B"/>
    <w:rsid w:val="64A71234"/>
    <w:rsid w:val="65C40356"/>
    <w:rsid w:val="66686827"/>
    <w:rsid w:val="66DE1FEE"/>
    <w:rsid w:val="673D77EB"/>
    <w:rsid w:val="674566A0"/>
    <w:rsid w:val="67BF46A4"/>
    <w:rsid w:val="68012F0F"/>
    <w:rsid w:val="68182006"/>
    <w:rsid w:val="685017A0"/>
    <w:rsid w:val="68DE40C4"/>
    <w:rsid w:val="68DF5F10"/>
    <w:rsid w:val="691E53FA"/>
    <w:rsid w:val="699019D3"/>
    <w:rsid w:val="69B47B0D"/>
    <w:rsid w:val="6A1E2D62"/>
    <w:rsid w:val="6A7A0D56"/>
    <w:rsid w:val="6AFC30F6"/>
    <w:rsid w:val="6B133968"/>
    <w:rsid w:val="6B3A519A"/>
    <w:rsid w:val="6B6B029E"/>
    <w:rsid w:val="6B9C1047"/>
    <w:rsid w:val="6BA8544F"/>
    <w:rsid w:val="6C8859AD"/>
    <w:rsid w:val="6CA81BAB"/>
    <w:rsid w:val="6D4D62AE"/>
    <w:rsid w:val="6D745F31"/>
    <w:rsid w:val="6DF96710"/>
    <w:rsid w:val="6E791F84"/>
    <w:rsid w:val="6EC72090"/>
    <w:rsid w:val="6F4B1580"/>
    <w:rsid w:val="6F6B34E8"/>
    <w:rsid w:val="6F79782E"/>
    <w:rsid w:val="6F8A1A3C"/>
    <w:rsid w:val="6F9D176F"/>
    <w:rsid w:val="6FC331F4"/>
    <w:rsid w:val="700205F2"/>
    <w:rsid w:val="703D085C"/>
    <w:rsid w:val="70D31FDB"/>
    <w:rsid w:val="70DC62C7"/>
    <w:rsid w:val="710475CC"/>
    <w:rsid w:val="716527CE"/>
    <w:rsid w:val="716C0D9F"/>
    <w:rsid w:val="71DC5974"/>
    <w:rsid w:val="728370FC"/>
    <w:rsid w:val="72A74B53"/>
    <w:rsid w:val="72E0569E"/>
    <w:rsid w:val="73075CA3"/>
    <w:rsid w:val="732469F1"/>
    <w:rsid w:val="74477DE3"/>
    <w:rsid w:val="74AA3374"/>
    <w:rsid w:val="752C70F1"/>
    <w:rsid w:val="757D0B6E"/>
    <w:rsid w:val="76045978"/>
    <w:rsid w:val="764A3CD3"/>
    <w:rsid w:val="76780840"/>
    <w:rsid w:val="777913CB"/>
    <w:rsid w:val="780B1240"/>
    <w:rsid w:val="78320EC2"/>
    <w:rsid w:val="7840771E"/>
    <w:rsid w:val="78590179"/>
    <w:rsid w:val="78857244"/>
    <w:rsid w:val="79E000CD"/>
    <w:rsid w:val="7A9814B1"/>
    <w:rsid w:val="7AAD407F"/>
    <w:rsid w:val="7B234AF2"/>
    <w:rsid w:val="7B486AB0"/>
    <w:rsid w:val="7B5D1DB2"/>
    <w:rsid w:val="7BA21EBB"/>
    <w:rsid w:val="7BD53ACF"/>
    <w:rsid w:val="7CDE6F23"/>
    <w:rsid w:val="7D0933BC"/>
    <w:rsid w:val="7D252DA4"/>
    <w:rsid w:val="7DC07559"/>
    <w:rsid w:val="7DF54524"/>
    <w:rsid w:val="7DFA4276"/>
    <w:rsid w:val="7E461224"/>
    <w:rsid w:val="7E751B09"/>
    <w:rsid w:val="7EA61CC2"/>
    <w:rsid w:val="7EE527EB"/>
    <w:rsid w:val="7F6E5305"/>
    <w:rsid w:val="7F802513"/>
    <w:rsid w:val="7F8C2C66"/>
    <w:rsid w:val="7FE8327D"/>
    <w:rsid w:val="7FEC5DFB"/>
    <w:rsid w:val="7FFA3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qFormat="1" w:unhideWhenUsed="0" w:uiPriority="0"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99" w:semiHidden="0" w:name="toc 4"/>
    <w:lsdException w:unhideWhenUsed="0" w:uiPriority="99" w:semiHidden="0" w:name="toc 5"/>
    <w:lsdException w:unhideWhenUsed="0" w:uiPriority="99" w:semiHidden="0" w:name="toc 6"/>
    <w:lsdException w:qFormat="1" w:uiPriority="3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qFormat="1" w:unhideWhenUsed="0" w:uiPriority="0"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qFormat="1" w:unhideWhenUsed="0" w:uiPriority="0"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0"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qFormat="1" w:unhideWhenUsed="0" w:uiPriority="0" w:semiHidden="0" w:name="Message Header"/>
    <w:lsdException w:unhideWhenUsed="0" w:uiPriority="99" w:semiHidden="0" w:name="Subtitle"/>
    <w:lsdException w:unhideWhenUsed="0" w:uiPriority="99"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nhideWhenUsed="0" w:uiPriority="99" w:semiHidden="0" w:name="Plain Text"/>
    <w:lsdException w:unhideWhenUsed="0" w:uiPriority="99" w:semiHidden="0" w:name="E-mail Signature"/>
    <w:lsdException w:qFormat="1"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27"/>
    <w:qFormat/>
    <w:uiPriority w:val="0"/>
    <w:pPr>
      <w:keepNext/>
      <w:keepLines/>
      <w:spacing w:before="80" w:beforeLines="80" w:after="80" w:afterLines="80" w:line="360" w:lineRule="auto"/>
      <w:ind w:firstLine="0" w:firstLineChars="0"/>
      <w:jc w:val="left"/>
      <w:outlineLvl w:val="0"/>
    </w:pPr>
    <w:rPr>
      <w:rFonts w:ascii="Times New Roman" w:hAnsi="Times New Roman" w:eastAsia="宋体" w:cs="Times New Roman"/>
      <w:b/>
      <w:bCs/>
      <w:kern w:val="44"/>
      <w:sz w:val="30"/>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Times New Roman" w:hAnsi="Times New Roman" w:eastAsia="黑体" w:cs="Times New Roman"/>
      <w:b/>
      <w:sz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4">
    <w:name w:val="toc 7"/>
    <w:basedOn w:val="1"/>
    <w:next w:val="1"/>
    <w:unhideWhenUsed/>
    <w:qFormat/>
    <w:uiPriority w:val="39"/>
    <w:pPr>
      <w:ind w:left="2520" w:leftChars="1200"/>
    </w:pPr>
    <w:rPr>
      <w:rFonts w:ascii="Calibri" w:hAnsi="Calibri" w:eastAsia="宋体" w:cs="Times New Roman"/>
      <w:szCs w:val="22"/>
    </w:rPr>
  </w:style>
  <w:style w:type="paragraph" w:styleId="5">
    <w:name w:val="annotation text"/>
    <w:basedOn w:val="1"/>
    <w:qFormat/>
    <w:uiPriority w:val="0"/>
    <w:pPr>
      <w:jc w:val="left"/>
    </w:pPr>
    <w:rPr>
      <w:rFonts w:ascii="Arial" w:hAnsi="Arial" w:eastAsia="黑体" w:cs="Arial"/>
    </w:rPr>
  </w:style>
  <w:style w:type="paragraph" w:styleId="6">
    <w:name w:val="Body Text"/>
    <w:basedOn w:val="1"/>
    <w:qFormat/>
    <w:uiPriority w:val="0"/>
    <w:pPr>
      <w:spacing w:after="120"/>
    </w:pPr>
    <w:rPr>
      <w:rFonts w:ascii="@微软简标宋" w:hAnsi="@微软简标宋" w:eastAsia="@微软简标宋" w:cs="@微软简标宋"/>
      <w:szCs w:val="24"/>
      <w:lang w:val="zh-CN"/>
    </w:r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99"/>
    <w:rPr>
      <w:rFonts w:ascii="宋体" w:hAnsi="Courier New" w:eastAsiaTheme="minorEastAsia" w:cstheme="minorBidi"/>
      <w:szCs w:val="22"/>
    </w:rPr>
  </w:style>
  <w:style w:type="paragraph" w:styleId="11">
    <w:name w:val="Date"/>
    <w:basedOn w:val="1"/>
    <w:next w:val="1"/>
    <w:qFormat/>
    <w:uiPriority w:val="0"/>
    <w:rPr>
      <w:rFonts w:ascii="Arial" w:hAnsi="Arial" w:eastAsia="宋体" w:cs="Arial"/>
      <w:b/>
      <w:sz w:val="28"/>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5">
    <w:name w:val="List"/>
    <w:basedOn w:val="1"/>
    <w:qFormat/>
    <w:uiPriority w:val="0"/>
    <w:rPr>
      <w:rFonts w:cs="Tahoma"/>
    </w:rPr>
  </w:style>
  <w:style w:type="paragraph" w:styleId="16">
    <w:name w:val="toc 2"/>
    <w:basedOn w:val="1"/>
    <w:next w:val="1"/>
    <w:qFormat/>
    <w:uiPriority w:val="0"/>
    <w:pPr>
      <w:ind w:left="420" w:leftChars="200"/>
    </w:p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1"/>
    </w:rPr>
  </w:style>
  <w:style w:type="paragraph" w:styleId="18">
    <w:name w:val="Normal (Web)"/>
    <w:basedOn w:val="1"/>
    <w:unhideWhenUsed/>
    <w:qFormat/>
    <w:uiPriority w:val="99"/>
    <w:pPr>
      <w:widowControl/>
      <w:spacing w:before="100" w:beforeAutospacing="1" w:after="100" w:afterAutospacing="1"/>
    </w:pPr>
    <w:rPr>
      <w:sz w:val="24"/>
      <w:szCs w:val="24"/>
    </w:rPr>
  </w:style>
  <w:style w:type="paragraph" w:styleId="19">
    <w:name w:val="index 1"/>
    <w:basedOn w:val="1"/>
    <w:next w:val="1"/>
    <w:qFormat/>
    <w:uiPriority w:val="0"/>
    <w:pPr>
      <w:jc w:val="center"/>
    </w:pPr>
    <w:rPr>
      <w:rFonts w:ascii="Arial" w:hAnsi="Arial" w:eastAsia="Arial" w:cs="Arial"/>
      <w:b/>
      <w:bCs/>
      <w:sz w:val="28"/>
    </w:rPr>
  </w:style>
  <w:style w:type="paragraph" w:styleId="20">
    <w:name w:val="Title"/>
    <w:basedOn w:val="1"/>
    <w:next w:val="1"/>
    <w:qFormat/>
    <w:uiPriority w:val="0"/>
    <w:pPr>
      <w:jc w:val="center"/>
    </w:pPr>
    <w:rPr>
      <w:sz w:val="30"/>
      <w:szCs w:val="24"/>
    </w:rPr>
  </w:style>
  <w:style w:type="paragraph" w:styleId="21">
    <w:name w:val="Body Text First Indent"/>
    <w:basedOn w:val="6"/>
    <w:semiHidden/>
    <w:unhideWhenUsed/>
    <w:qFormat/>
    <w:uiPriority w:val="99"/>
    <w:pPr>
      <w:ind w:firstLine="420" w:firstLineChars="100"/>
    </w:pPr>
  </w:style>
  <w:style w:type="paragraph" w:styleId="22">
    <w:name w:val="Body Text First Indent 2"/>
    <w:basedOn w:val="7"/>
    <w:next w:val="1"/>
    <w:qFormat/>
    <w:uiPriority w:val="0"/>
    <w:pPr>
      <w:ind w:firstLine="420" w:firstLineChars="200"/>
    </w:pPr>
    <w:rPr>
      <w:sz w:val="21"/>
    </w:rPr>
  </w:style>
  <w:style w:type="table" w:styleId="24">
    <w:name w:val="Table Grid"/>
    <w:basedOn w:val="2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6">
    <w:name w:val="标题 1 Char"/>
    <w:basedOn w:val="25"/>
    <w:link w:val="2"/>
    <w:qFormat/>
    <w:uiPriority w:val="0"/>
    <w:rPr>
      <w:rFonts w:ascii="Times New Roman" w:hAnsi="Times New Roman" w:eastAsia="宋体" w:cs="Times New Roman"/>
      <w:b/>
      <w:bCs/>
      <w:kern w:val="44"/>
      <w:sz w:val="30"/>
      <w:szCs w:val="44"/>
      <w:lang w:val="en-US" w:eastAsia="zh-CN" w:bidi="ar-SA"/>
    </w:rPr>
  </w:style>
  <w:style w:type="character" w:customStyle="1" w:styleId="27">
    <w:name w:val="标题 1 Char1"/>
    <w:basedOn w:val="25"/>
    <w:link w:val="2"/>
    <w:qFormat/>
    <w:uiPriority w:val="9"/>
    <w:rPr>
      <w:b/>
      <w:bCs/>
      <w:kern w:val="44"/>
      <w:sz w:val="44"/>
      <w:szCs w:val="44"/>
    </w:rPr>
  </w:style>
  <w:style w:type="paragraph" w:customStyle="1" w:styleId="28">
    <w:name w:val="xl31"/>
    <w:basedOn w:val="1"/>
    <w:qFormat/>
    <w:uiPriority w:val="0"/>
    <w:pPr>
      <w:widowControl/>
      <w:spacing w:before="100" w:beforeAutospacing="1" w:after="100" w:afterAutospacing="1"/>
      <w:jc w:val="center"/>
    </w:pPr>
    <w:rPr>
      <w:b/>
      <w:bCs/>
      <w:kern w:val="0"/>
      <w:sz w:val="28"/>
      <w:szCs w:val="28"/>
    </w:rPr>
  </w:style>
  <w:style w:type="paragraph" w:customStyle="1" w:styleId="29">
    <w:name w:val="D&amp;L"/>
    <w:basedOn w:val="13"/>
    <w:qFormat/>
    <w:uiPriority w:val="0"/>
    <w:pPr>
      <w:pBdr>
        <w:bottom w:val="thinThickSmallGap" w:color="auto" w:sz="18" w:space="1"/>
      </w:pBdr>
      <w:adjustRightInd w:val="0"/>
      <w:snapToGrid/>
      <w:spacing w:line="240" w:lineRule="atLeast"/>
    </w:pPr>
    <w:rPr>
      <w:kern w:val="0"/>
      <w:sz w:val="24"/>
      <w:szCs w:val="20"/>
    </w:rPr>
  </w:style>
  <w:style w:type="paragraph" w:customStyle="1" w:styleId="30">
    <w:name w:val="纯文本1"/>
    <w:basedOn w:val="1"/>
    <w:qFormat/>
    <w:uiPriority w:val="0"/>
    <w:rPr>
      <w:rFonts w:ascii="Arial" w:hAnsi="Arial" w:eastAsia="Arial" w:cstheme="minorBidi"/>
    </w:rPr>
  </w:style>
  <w:style w:type="paragraph" w:customStyle="1" w:styleId="31">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32">
    <w:name w:val="Char Char Char Char Char Char Char1 Char"/>
    <w:basedOn w:val="1"/>
    <w:qFormat/>
    <w:uiPriority w:val="0"/>
    <w:rPr>
      <w:rFonts w:ascii="Arial" w:hAnsi="Arial" w:eastAsia="宋体" w:cs="Arial"/>
      <w:sz w:val="24"/>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Table Text"/>
    <w:basedOn w:val="1"/>
    <w:semiHidden/>
    <w:qFormat/>
    <w:uiPriority w:val="0"/>
    <w:rPr>
      <w:rFonts w:ascii="Arial" w:hAnsi="Arial" w:eastAsia="Arial" w:cs="Arial"/>
      <w:szCs w:val="21"/>
      <w:lang w:eastAsia="en-US"/>
    </w:rPr>
  </w:style>
  <w:style w:type="paragraph" w:styleId="35">
    <w:name w:val="List Paragraph"/>
    <w:basedOn w:val="1"/>
    <w:qFormat/>
    <w:uiPriority w:val="1"/>
    <w:pPr>
      <w:ind w:firstLine="420" w:firstLineChars="200"/>
    </w:pPr>
    <w:rPr>
      <w:rFonts w:ascii="Calibri" w:hAnsi="Calibri"/>
      <w:szCs w:val="22"/>
    </w:rPr>
  </w:style>
  <w:style w:type="paragraph" w:customStyle="1" w:styleId="36">
    <w:name w:val="列表段落1"/>
    <w:basedOn w:val="1"/>
    <w:qFormat/>
    <w:uiPriority w:val="99"/>
    <w:pPr>
      <w:ind w:firstLine="420" w:firstLineChars="200"/>
    </w:pPr>
  </w:style>
  <w:style w:type="paragraph" w:customStyle="1" w:styleId="3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17772</Words>
  <Characters>18779</Characters>
  <Lines>0</Lines>
  <Paragraphs>0</Paragraphs>
  <TotalTime>53</TotalTime>
  <ScaleCrop>false</ScaleCrop>
  <LinksUpToDate>false</LinksUpToDate>
  <CharactersWithSpaces>19170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2022-11-12T06:53:00Z</dcterms:created>
  <dc:creator>Administrator</dc:creator>
  <cp:lastModifiedBy>晓森</cp:lastModifiedBy>
  <dcterms:modified xsi:type="dcterms:W3CDTF">2026-07-01T07:20:50Z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CCF4C32FB53041A197FCC0615F2DE707_13</vt:lpwstr>
  </property>
  <property fmtid="{D5CDD505-2E9C-101B-9397-08002B2CF9AE}" pid="4" name="KSOTemplateDocerSaveRecord">
    <vt:lpwstr>eyJoZGlkIjoiZTQ0ZWRlMzRiYjdkMTcxODQ1YTljODQxMzM3MzBlMTUiLCJ1c2VySWQiOiI0MzM0MDM1NzcifQ==</vt:lpwstr>
  </property>
</Properties>
</file>